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079C" w14:textId="77777777" w:rsidR="009166AF" w:rsidRDefault="009166AF" w:rsidP="009166AF">
      <w:pPr>
        <w:jc w:val="center"/>
        <w:rPr>
          <w:rFonts w:ascii="Century Gothic" w:hAnsi="Century Gothic"/>
          <w:b/>
        </w:rPr>
      </w:pPr>
    </w:p>
    <w:p w14:paraId="0824E549" w14:textId="701E4634" w:rsidR="009166AF" w:rsidRDefault="00D070D4" w:rsidP="009166AF">
      <w:pPr>
        <w:kinsoku w:val="0"/>
        <w:overflowPunct w:val="0"/>
        <w:spacing w:before="120" w:after="0" w:line="240" w:lineRule="auto"/>
        <w:ind w:left="74" w:right="74"/>
        <w:jc w:val="center"/>
        <w:textAlignment w:val="baseline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  <w:r>
        <w:rPr>
          <w:noProof/>
        </w:rPr>
        <w:drawing>
          <wp:inline distT="0" distB="0" distL="0" distR="0" wp14:anchorId="547822C3" wp14:editId="1FDA8602">
            <wp:extent cx="2733675" cy="888444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64" cy="90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CCD82" w14:textId="77777777" w:rsidR="009166AF" w:rsidRDefault="009166AF" w:rsidP="009166AF">
      <w:pPr>
        <w:kinsoku w:val="0"/>
        <w:overflowPunct w:val="0"/>
        <w:spacing w:before="120" w:after="0" w:line="240" w:lineRule="auto"/>
        <w:ind w:left="74" w:right="74"/>
        <w:jc w:val="center"/>
        <w:textAlignment w:val="baseline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76DCABE7" w14:textId="77777777" w:rsidR="00D070D4" w:rsidRDefault="00D070D4" w:rsidP="009166AF">
      <w:pPr>
        <w:kinsoku w:val="0"/>
        <w:overflowPunct w:val="0"/>
        <w:spacing w:before="120" w:after="0" w:line="240" w:lineRule="auto"/>
        <w:ind w:left="74" w:right="74"/>
        <w:jc w:val="center"/>
        <w:textAlignment w:val="baseline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614A719F" w14:textId="77777777" w:rsidR="00D070D4" w:rsidRDefault="00D070D4" w:rsidP="009166AF">
      <w:pPr>
        <w:kinsoku w:val="0"/>
        <w:overflowPunct w:val="0"/>
        <w:spacing w:before="120" w:after="0" w:line="240" w:lineRule="auto"/>
        <w:ind w:left="74" w:right="74"/>
        <w:jc w:val="center"/>
        <w:textAlignment w:val="baseline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70E4993D" w14:textId="2426B88D" w:rsidR="009166AF" w:rsidRPr="00D070D4" w:rsidRDefault="009166AF" w:rsidP="009166AF">
      <w:pPr>
        <w:spacing w:before="120" w:after="0" w:line="240" w:lineRule="auto"/>
        <w:ind w:left="74" w:right="74"/>
        <w:jc w:val="center"/>
        <w:rPr>
          <w:rFonts w:ascii="Century Gothic" w:hAnsi="Century Gothic" w:cs="Verdana"/>
          <w:b/>
          <w:bCs/>
          <w:color w:val="DB0744"/>
          <w:spacing w:val="-6"/>
          <w:sz w:val="50"/>
          <w:szCs w:val="50"/>
          <w:lang w:val="es-ES" w:eastAsia="es-ES"/>
        </w:rPr>
      </w:pPr>
      <w:r w:rsidRPr="00D070D4">
        <w:rPr>
          <w:rFonts w:ascii="Century Gothic" w:hAnsi="Century Gothic" w:cs="Verdana"/>
          <w:b/>
          <w:bCs/>
          <w:color w:val="DB0744"/>
          <w:spacing w:val="-6"/>
          <w:sz w:val="50"/>
          <w:szCs w:val="50"/>
          <w:lang w:val="es-ES" w:eastAsia="es-ES"/>
        </w:rPr>
        <w:t xml:space="preserve">GUÍA DE LLENADO DEL SISTEMA DE INVENTARIO DE DATOS PERSONALES DEL </w:t>
      </w:r>
      <w:r w:rsidR="00733786">
        <w:rPr>
          <w:rFonts w:ascii="Century Gothic" w:hAnsi="Century Gothic" w:cs="Verdana"/>
          <w:b/>
          <w:bCs/>
          <w:color w:val="DB0744"/>
          <w:spacing w:val="-6"/>
          <w:sz w:val="50"/>
          <w:szCs w:val="50"/>
          <w:lang w:val="es-ES" w:eastAsia="es-ES"/>
        </w:rPr>
        <w:t>IQTP</w:t>
      </w:r>
    </w:p>
    <w:p w14:paraId="5A7F8ADA" w14:textId="77777777" w:rsidR="009166AF" w:rsidRDefault="009166AF" w:rsidP="009166AF">
      <w:pPr>
        <w:spacing w:before="120" w:after="0" w:line="240" w:lineRule="auto"/>
        <w:ind w:left="74" w:right="74"/>
        <w:jc w:val="center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3C2540D4" w14:textId="77777777" w:rsidR="00733786" w:rsidRDefault="00733786" w:rsidP="009166AF">
      <w:pPr>
        <w:spacing w:before="120" w:after="0" w:line="240" w:lineRule="auto"/>
        <w:ind w:left="74" w:right="74"/>
        <w:jc w:val="center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13E602C4" w14:textId="77777777" w:rsidR="00733786" w:rsidRDefault="00733786" w:rsidP="009166AF">
      <w:pPr>
        <w:spacing w:before="120" w:after="0" w:line="240" w:lineRule="auto"/>
        <w:ind w:left="74" w:right="74"/>
        <w:jc w:val="center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69FEB053" w14:textId="77777777" w:rsidR="009166AF" w:rsidRDefault="009166AF" w:rsidP="009166AF">
      <w:pPr>
        <w:spacing w:before="120" w:after="0" w:line="240" w:lineRule="auto"/>
        <w:ind w:left="74" w:right="74"/>
        <w:jc w:val="center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6ABF45E7" w14:textId="77777777" w:rsidR="009166AF" w:rsidRDefault="009166AF" w:rsidP="009166AF">
      <w:pPr>
        <w:spacing w:before="120" w:after="0" w:line="240" w:lineRule="auto"/>
        <w:ind w:left="74" w:right="74"/>
        <w:jc w:val="center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46E9A262" w14:textId="77777777" w:rsidR="009166AF" w:rsidRDefault="009166AF" w:rsidP="009166AF">
      <w:pPr>
        <w:spacing w:before="120" w:after="0" w:line="240" w:lineRule="auto"/>
        <w:ind w:left="74" w:right="74"/>
        <w:jc w:val="center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0C075FEC" w14:textId="77777777" w:rsidR="009166AF" w:rsidRDefault="009166AF" w:rsidP="009166AF">
      <w:pPr>
        <w:spacing w:before="120" w:after="0" w:line="240" w:lineRule="auto"/>
        <w:ind w:left="74" w:right="74"/>
        <w:jc w:val="center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11F79DCE" w14:textId="77777777" w:rsidR="009166AF" w:rsidRDefault="009166AF" w:rsidP="009166AF">
      <w:pPr>
        <w:spacing w:before="120" w:after="0" w:line="240" w:lineRule="auto"/>
        <w:ind w:left="74" w:right="74"/>
        <w:jc w:val="center"/>
        <w:rPr>
          <w:rFonts w:ascii="Century Gothic" w:hAnsi="Century Gothic" w:cs="Verdana"/>
          <w:b/>
          <w:bCs/>
          <w:color w:val="885A68"/>
          <w:spacing w:val="-6"/>
          <w:sz w:val="50"/>
          <w:szCs w:val="50"/>
          <w:lang w:val="es-ES" w:eastAsia="es-ES"/>
        </w:rPr>
      </w:pPr>
    </w:p>
    <w:p w14:paraId="636D9CBC" w14:textId="77777777" w:rsidR="00542805" w:rsidRDefault="00542805" w:rsidP="009166AF">
      <w:pPr>
        <w:jc w:val="center"/>
        <w:rPr>
          <w:rFonts w:ascii="Century Gothic" w:hAnsi="Century Gothic"/>
          <w:b/>
        </w:rPr>
      </w:pPr>
    </w:p>
    <w:p w14:paraId="7F22BB46" w14:textId="7A04E45A" w:rsidR="009166AF" w:rsidRDefault="009166AF" w:rsidP="009166AF">
      <w:pPr>
        <w:jc w:val="center"/>
        <w:rPr>
          <w:rFonts w:ascii="Century Gothic" w:hAnsi="Century Gothic"/>
          <w:b/>
        </w:rPr>
      </w:pPr>
      <w:r w:rsidRPr="009166AF">
        <w:rPr>
          <w:rFonts w:ascii="Century Gothic" w:hAnsi="Century Gothic"/>
          <w:b/>
        </w:rPr>
        <w:lastRenderedPageBreak/>
        <w:t xml:space="preserve">Guía de llenado del Sistema de Inventario de Datos Personales del </w:t>
      </w:r>
      <w:r w:rsidR="00D070D4">
        <w:rPr>
          <w:rFonts w:ascii="Century Gothic" w:hAnsi="Century Gothic"/>
          <w:b/>
        </w:rPr>
        <w:t>IQTP</w:t>
      </w:r>
      <w:r>
        <w:rPr>
          <w:rFonts w:ascii="Century Gothic" w:hAnsi="Century Gothic"/>
          <w:b/>
        </w:rPr>
        <w:t xml:space="preserve">. </w:t>
      </w:r>
    </w:p>
    <w:p w14:paraId="72776A9B" w14:textId="7025F0A7" w:rsidR="00EF580B" w:rsidRDefault="00EF580B" w:rsidP="006E636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="006E6365">
        <w:rPr>
          <w:rFonts w:ascii="Century Gothic" w:hAnsi="Century Gothic"/>
        </w:rPr>
        <w:t>l artículo 3</w:t>
      </w:r>
      <w:r w:rsidR="00733786">
        <w:rPr>
          <w:rFonts w:ascii="Century Gothic" w:hAnsi="Century Gothic"/>
        </w:rPr>
        <w:t>2</w:t>
      </w:r>
      <w:r>
        <w:rPr>
          <w:rFonts w:ascii="Century Gothic" w:hAnsi="Century Gothic"/>
        </w:rPr>
        <w:t xml:space="preserve">, </w:t>
      </w:r>
      <w:r w:rsidR="008722A0">
        <w:rPr>
          <w:rFonts w:ascii="Century Gothic" w:hAnsi="Century Gothic"/>
        </w:rPr>
        <w:t>f</w:t>
      </w:r>
      <w:r>
        <w:rPr>
          <w:rFonts w:ascii="Century Gothic" w:hAnsi="Century Gothic"/>
        </w:rPr>
        <w:t xml:space="preserve">racción III </w:t>
      </w:r>
      <w:r w:rsidR="006E6365">
        <w:rPr>
          <w:rFonts w:ascii="Century Gothic" w:hAnsi="Century Gothic"/>
        </w:rPr>
        <w:t xml:space="preserve">de la Ley de Protección de Datos Personales en Posesión de Sujetos Obligados </w:t>
      </w:r>
      <w:r w:rsidR="00733786">
        <w:rPr>
          <w:rFonts w:ascii="Century Gothic" w:hAnsi="Century Gothic"/>
        </w:rPr>
        <w:t>del</w:t>
      </w:r>
      <w:r w:rsidR="006E6365">
        <w:rPr>
          <w:rFonts w:ascii="Century Gothic" w:hAnsi="Century Gothic"/>
        </w:rPr>
        <w:t xml:space="preserve"> Estado de Quintana Roo</w:t>
      </w:r>
      <w:r w:rsidR="008722A0">
        <w:rPr>
          <w:rFonts w:ascii="Century Gothic" w:hAnsi="Century Gothic"/>
        </w:rPr>
        <w:t xml:space="preserve"> (en adelante la Ley)</w:t>
      </w:r>
      <w:r w:rsidR="006E6365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señala </w:t>
      </w:r>
      <w:r w:rsidR="008F4A32">
        <w:rPr>
          <w:rFonts w:ascii="Century Gothic" w:hAnsi="Century Gothic"/>
        </w:rPr>
        <w:t>que</w:t>
      </w:r>
      <w:r w:rsidR="00741F5B">
        <w:rPr>
          <w:rFonts w:ascii="Century Gothic" w:hAnsi="Century Gothic"/>
        </w:rPr>
        <w:t>,</w:t>
      </w:r>
      <w:r w:rsidR="008F4A32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para establecer y mantener las medidas de seguridad para la protección de datos personales, el responsable deberá elaborar un inventario de datos personales y de los sistemas de tratamiento de éstos como parte del documento de seguridad de los responsables.</w:t>
      </w:r>
    </w:p>
    <w:p w14:paraId="6A41B803" w14:textId="583F740B" w:rsidR="006E6365" w:rsidRDefault="00EF580B" w:rsidP="006E636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Para dar cabal cumplimiento a dicha disposición, el Instituto </w:t>
      </w:r>
      <w:r w:rsidR="00D070D4">
        <w:rPr>
          <w:rFonts w:ascii="Century Gothic" w:hAnsi="Century Gothic"/>
        </w:rPr>
        <w:t>Quintanarroense de Transparencia para el Pueblo</w:t>
      </w:r>
      <w:r w:rsidR="008722A0">
        <w:rPr>
          <w:rFonts w:ascii="Century Gothic" w:hAnsi="Century Gothic"/>
        </w:rPr>
        <w:t xml:space="preserve"> (en adelante IQTP)</w:t>
      </w:r>
      <w:r>
        <w:rPr>
          <w:rFonts w:ascii="Century Gothic" w:hAnsi="Century Gothic"/>
        </w:rPr>
        <w:t xml:space="preserve">, creó el Sistema de Inventario de Datos Personales </w:t>
      </w:r>
      <w:r w:rsidR="00D247C9">
        <w:rPr>
          <w:rFonts w:ascii="Century Gothic" w:hAnsi="Century Gothic"/>
        </w:rPr>
        <w:t xml:space="preserve">y su guía de llenado, con el objetivo de </w:t>
      </w:r>
      <w:r>
        <w:rPr>
          <w:rFonts w:ascii="Century Gothic" w:hAnsi="Century Gothic"/>
        </w:rPr>
        <w:t xml:space="preserve">brindar acompañamiento y orientación </w:t>
      </w:r>
      <w:r w:rsidR="00D247C9">
        <w:rPr>
          <w:rFonts w:ascii="Century Gothic" w:hAnsi="Century Gothic"/>
        </w:rPr>
        <w:t xml:space="preserve">en la elaboración del inventario de datos personales de los Sujetos Obligados. </w:t>
      </w:r>
    </w:p>
    <w:p w14:paraId="763D4718" w14:textId="792CEAFB" w:rsidR="00D247C9" w:rsidRPr="00FF27B4" w:rsidRDefault="00D247C9" w:rsidP="00FF27B4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FF27B4">
        <w:rPr>
          <w:rFonts w:ascii="Century Gothic" w:hAnsi="Century Gothic"/>
          <w:b/>
        </w:rPr>
        <w:t>Clasificación de Sujeto Obligado</w:t>
      </w:r>
      <w:r w:rsidRPr="00FF27B4">
        <w:rPr>
          <w:rFonts w:ascii="Century Gothic" w:hAnsi="Century Gothic"/>
        </w:rPr>
        <w:t xml:space="preserve">: De acuerdo al </w:t>
      </w:r>
      <w:r w:rsidR="00FF27B4" w:rsidRPr="00FF27B4">
        <w:rPr>
          <w:rFonts w:ascii="Century Gothic" w:hAnsi="Century Gothic"/>
        </w:rPr>
        <w:t>P</w:t>
      </w:r>
      <w:r w:rsidRPr="00FF27B4">
        <w:rPr>
          <w:rFonts w:ascii="Century Gothic" w:hAnsi="Century Gothic"/>
        </w:rPr>
        <w:t xml:space="preserve">adrón de </w:t>
      </w:r>
      <w:r w:rsidR="00FF27B4" w:rsidRPr="00FF27B4">
        <w:rPr>
          <w:rFonts w:ascii="Century Gothic" w:hAnsi="Century Gothic"/>
        </w:rPr>
        <w:t>S</w:t>
      </w:r>
      <w:r w:rsidRPr="00FF27B4">
        <w:rPr>
          <w:rFonts w:ascii="Century Gothic" w:hAnsi="Century Gothic"/>
        </w:rPr>
        <w:t xml:space="preserve">ujetos </w:t>
      </w:r>
      <w:r w:rsidR="00FF27B4" w:rsidRPr="00FF27B4">
        <w:rPr>
          <w:rFonts w:ascii="Century Gothic" w:hAnsi="Century Gothic"/>
        </w:rPr>
        <w:t>O</w:t>
      </w:r>
      <w:r w:rsidRPr="00FF27B4">
        <w:rPr>
          <w:rFonts w:ascii="Century Gothic" w:hAnsi="Century Gothic"/>
        </w:rPr>
        <w:t>bligados</w:t>
      </w:r>
      <w:r w:rsidR="00FF27B4" w:rsidRPr="00FF27B4">
        <w:rPr>
          <w:rFonts w:ascii="Century Gothic" w:hAnsi="Century Gothic"/>
        </w:rPr>
        <w:t xml:space="preserve"> del </w:t>
      </w:r>
      <w:r w:rsidR="00D070D4">
        <w:rPr>
          <w:rFonts w:ascii="Century Gothic" w:hAnsi="Century Gothic"/>
        </w:rPr>
        <w:t>IQTP</w:t>
      </w:r>
      <w:r w:rsidRPr="00FF27B4">
        <w:rPr>
          <w:rFonts w:ascii="Century Gothic" w:hAnsi="Century Gothic"/>
        </w:rPr>
        <w:t>, señalar a qué grupo pertenece</w:t>
      </w:r>
      <w:r w:rsidR="008722A0">
        <w:rPr>
          <w:rFonts w:ascii="Century Gothic" w:hAnsi="Century Gothic"/>
        </w:rPr>
        <w:t>:</w:t>
      </w:r>
      <w:r w:rsidRPr="00FF27B4">
        <w:rPr>
          <w:rFonts w:ascii="Century Gothic" w:hAnsi="Century Gothic"/>
        </w:rPr>
        <w:t xml:space="preserve"> </w:t>
      </w:r>
    </w:p>
    <w:p w14:paraId="51E7AB32" w14:textId="051FAFA3" w:rsidR="00FF27B4" w:rsidRPr="00D070D4" w:rsidRDefault="00D247C9" w:rsidP="00D070D4">
      <w:pPr>
        <w:pStyle w:val="Prrafodelista"/>
        <w:numPr>
          <w:ilvl w:val="0"/>
          <w:numId w:val="3"/>
        </w:numPr>
        <w:jc w:val="both"/>
        <w:rPr>
          <w:rFonts w:ascii="Century Gothic" w:hAnsi="Century Gothic"/>
        </w:rPr>
      </w:pPr>
      <w:r w:rsidRPr="00FF27B4">
        <w:rPr>
          <w:rFonts w:ascii="Century Gothic" w:hAnsi="Century Gothic"/>
        </w:rPr>
        <w:t xml:space="preserve">Poder Ejecutivo: </w:t>
      </w:r>
      <w:r w:rsidR="008722A0">
        <w:rPr>
          <w:rFonts w:ascii="Century Gothic" w:hAnsi="Century Gothic"/>
        </w:rPr>
        <w:t>Dependencias</w:t>
      </w:r>
      <w:r w:rsidR="00FF27B4" w:rsidRPr="00FF27B4">
        <w:rPr>
          <w:rFonts w:ascii="Century Gothic" w:hAnsi="Century Gothic"/>
        </w:rPr>
        <w:t xml:space="preserve">, Unidades Administrativas del Despacho del Poder Ejecutivo, Organismos Descentralizados, Empresas de </w:t>
      </w:r>
      <w:r w:rsidR="008722A0">
        <w:rPr>
          <w:rFonts w:ascii="Century Gothic" w:hAnsi="Century Gothic"/>
        </w:rPr>
        <w:t>P</w:t>
      </w:r>
      <w:r w:rsidR="00FF27B4" w:rsidRPr="00FF27B4">
        <w:rPr>
          <w:rFonts w:ascii="Century Gothic" w:hAnsi="Century Gothic"/>
        </w:rPr>
        <w:t xml:space="preserve">articipación </w:t>
      </w:r>
      <w:r w:rsidR="008722A0">
        <w:rPr>
          <w:rFonts w:ascii="Century Gothic" w:hAnsi="Century Gothic"/>
        </w:rPr>
        <w:t>E</w:t>
      </w:r>
      <w:r w:rsidR="00FF27B4" w:rsidRPr="00FF27B4">
        <w:rPr>
          <w:rFonts w:ascii="Century Gothic" w:hAnsi="Century Gothic"/>
        </w:rPr>
        <w:t xml:space="preserve">statal </w:t>
      </w:r>
      <w:r w:rsidR="008722A0">
        <w:rPr>
          <w:rFonts w:ascii="Century Gothic" w:hAnsi="Century Gothic"/>
        </w:rPr>
        <w:t>M</w:t>
      </w:r>
      <w:r w:rsidR="00FF27B4" w:rsidRPr="00FF27B4">
        <w:rPr>
          <w:rFonts w:ascii="Century Gothic" w:hAnsi="Century Gothic"/>
        </w:rPr>
        <w:t>ayoritaria, Fideicomisos y Fondos Públicos</w:t>
      </w:r>
      <w:r w:rsidR="00FF27B4">
        <w:rPr>
          <w:rFonts w:ascii="Century Gothic" w:hAnsi="Century Gothic"/>
        </w:rPr>
        <w:t xml:space="preserve"> u</w:t>
      </w:r>
      <w:r w:rsidR="00FF27B4" w:rsidRPr="00FF27B4">
        <w:rPr>
          <w:rFonts w:ascii="Century Gothic" w:hAnsi="Century Gothic"/>
        </w:rPr>
        <w:t xml:space="preserve"> Órganos Administrativos Desconcentrado</w:t>
      </w:r>
      <w:r w:rsidR="00FF27B4">
        <w:rPr>
          <w:rFonts w:ascii="Century Gothic" w:hAnsi="Century Gothic"/>
        </w:rPr>
        <w:t xml:space="preserve">s. </w:t>
      </w:r>
      <w:r w:rsidR="00FF27B4" w:rsidRPr="00D070D4">
        <w:rPr>
          <w:rFonts w:ascii="Century Gothic" w:hAnsi="Century Gothic"/>
        </w:rPr>
        <w:t xml:space="preserve"> </w:t>
      </w:r>
    </w:p>
    <w:p w14:paraId="3F9F7AD3" w14:textId="77777777" w:rsidR="00FF27B4" w:rsidRPr="00FF27B4" w:rsidRDefault="00FF27B4" w:rsidP="00FF27B4">
      <w:pPr>
        <w:pStyle w:val="Prrafodelista"/>
        <w:numPr>
          <w:ilvl w:val="0"/>
          <w:numId w:val="3"/>
        </w:numPr>
        <w:jc w:val="both"/>
        <w:rPr>
          <w:rFonts w:ascii="Century Gothic" w:hAnsi="Century Gothic"/>
        </w:rPr>
      </w:pPr>
      <w:r w:rsidRPr="00FF27B4">
        <w:rPr>
          <w:rFonts w:ascii="Century Gothic" w:hAnsi="Century Gothic"/>
        </w:rPr>
        <w:t xml:space="preserve">Municipios </w:t>
      </w:r>
    </w:p>
    <w:p w14:paraId="4BAAD215" w14:textId="77777777" w:rsidR="00782BAF" w:rsidRDefault="00FF27B4" w:rsidP="00782BAF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782BAF">
        <w:rPr>
          <w:rFonts w:ascii="Century Gothic" w:hAnsi="Century Gothic"/>
          <w:b/>
        </w:rPr>
        <w:t>Sujeto Obligado:</w:t>
      </w:r>
      <w:r w:rsidRPr="00782BAF">
        <w:rPr>
          <w:rFonts w:ascii="Century Gothic" w:hAnsi="Century Gothic"/>
        </w:rPr>
        <w:t xml:space="preserve"> Nombre del Sujeto Obligado al que pertenece el Sistema de Datos Personales. </w:t>
      </w:r>
    </w:p>
    <w:p w14:paraId="734A50F5" w14:textId="77777777" w:rsidR="00782BAF" w:rsidRDefault="00FF27B4" w:rsidP="00782BAF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782BAF">
        <w:rPr>
          <w:rFonts w:ascii="Century Gothic" w:hAnsi="Century Gothic"/>
          <w:b/>
        </w:rPr>
        <w:t>Unidad Administrativa</w:t>
      </w:r>
      <w:r w:rsidRPr="00782BAF">
        <w:rPr>
          <w:rFonts w:ascii="Century Gothic" w:hAnsi="Century Gothic"/>
        </w:rPr>
        <w:t xml:space="preserve">: Área o departamento al que pertenece el Sistema de Datos Personales. </w:t>
      </w:r>
    </w:p>
    <w:p w14:paraId="0510C556" w14:textId="77777777" w:rsidR="00D247C9" w:rsidRPr="00782BAF" w:rsidRDefault="00FF27B4" w:rsidP="00782BAF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782BAF">
        <w:rPr>
          <w:rFonts w:ascii="Century Gothic" w:hAnsi="Century Gothic"/>
          <w:b/>
        </w:rPr>
        <w:t>Nombre del Sistema de Datos Personales</w:t>
      </w:r>
      <w:r w:rsidRPr="00782BAF">
        <w:rPr>
          <w:rFonts w:ascii="Century Gothic" w:hAnsi="Century Gothic"/>
        </w:rPr>
        <w:t xml:space="preserve">: </w:t>
      </w:r>
      <w:r w:rsidR="00AD4069" w:rsidRPr="00782BAF">
        <w:rPr>
          <w:rFonts w:ascii="Century Gothic" w:hAnsi="Century Gothic"/>
        </w:rPr>
        <w:t>El</w:t>
      </w:r>
      <w:r w:rsidR="00AD4069" w:rsidRPr="00782BAF">
        <w:rPr>
          <w:rFonts w:ascii="Century Gothic" w:hAnsi="Century Gothic" w:cs="Arial"/>
          <w:lang w:val="es-ES"/>
        </w:rPr>
        <w:t xml:space="preserve"> Sistema de Datos Personales consiste en el conjunto organizado de archivos, registros, ficheros, bases o banco de datos personales en posesión de los sujetos obligados, en cualquiera que sea la forma o modalidad de su creación, almacenamiento, organización y acceso. Ejemplo: Expediente de Personal del Sujeto Obligado. </w:t>
      </w:r>
    </w:p>
    <w:p w14:paraId="6F6F314E" w14:textId="2BA1A9F4" w:rsidR="00782BAF" w:rsidRDefault="00782BAF" w:rsidP="006E6365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782BAF">
        <w:rPr>
          <w:rFonts w:ascii="Century Gothic" w:hAnsi="Century Gothic"/>
          <w:b/>
        </w:rPr>
        <w:t>Nombre del Aviso de Privacidad.</w:t>
      </w:r>
      <w:r>
        <w:rPr>
          <w:rFonts w:ascii="Century Gothic" w:hAnsi="Century Gothic"/>
        </w:rPr>
        <w:t xml:space="preserve"> Nombre del Aviso de Privacidad Integral y Simplificado del Sistema de Tratamiento de los Datos Personales. </w:t>
      </w:r>
      <w:r w:rsidR="004B6EEF">
        <w:rPr>
          <w:rFonts w:ascii="Century Gothic" w:hAnsi="Century Gothic"/>
        </w:rPr>
        <w:t>Ejemplo: Aviso de Privacidad Integral y Simplificado del Expediente de Personal del Sujeto Obligado. Si no cuenta con él</w:t>
      </w:r>
      <w:r w:rsidR="008722A0">
        <w:rPr>
          <w:rFonts w:ascii="Century Gothic" w:hAnsi="Century Gothic"/>
        </w:rPr>
        <w:t>,</w:t>
      </w:r>
      <w:r w:rsidR="004B6EEF">
        <w:rPr>
          <w:rFonts w:ascii="Century Gothic" w:hAnsi="Century Gothic"/>
        </w:rPr>
        <w:t xml:space="preserve"> señalar esa deficiencia y solventarla.</w:t>
      </w:r>
    </w:p>
    <w:p w14:paraId="17C37EF7" w14:textId="098D45BA" w:rsidR="004B6EEF" w:rsidRDefault="004B6EEF" w:rsidP="004B6EEF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4B6EEF">
        <w:rPr>
          <w:rFonts w:ascii="Century Gothic" w:hAnsi="Century Gothic"/>
          <w:b/>
        </w:rPr>
        <w:t>Hipervínculo del Aviso de Privacidad Integral</w:t>
      </w:r>
      <w:r>
        <w:rPr>
          <w:rFonts w:ascii="Century Gothic" w:hAnsi="Century Gothic"/>
        </w:rPr>
        <w:t>. La liga</w:t>
      </w:r>
      <w:r w:rsidR="008722A0">
        <w:rPr>
          <w:rFonts w:ascii="Century Gothic" w:hAnsi="Century Gothic"/>
        </w:rPr>
        <w:t xml:space="preserve"> electrónica</w:t>
      </w:r>
      <w:r>
        <w:rPr>
          <w:rFonts w:ascii="Century Gothic" w:hAnsi="Century Gothic"/>
        </w:rPr>
        <w:t xml:space="preserve"> o link donde se encuentra publicado el aviso de privacidad integral del sistema de datos personales. </w:t>
      </w:r>
    </w:p>
    <w:p w14:paraId="41EA867F" w14:textId="49807B1B" w:rsidR="00D247C9" w:rsidRDefault="004B6EEF" w:rsidP="00A95662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0A4E05">
        <w:rPr>
          <w:rFonts w:ascii="Century Gothic" w:hAnsi="Century Gothic"/>
          <w:b/>
        </w:rPr>
        <w:t>Servidor (es) Público (s) con acceso a los Datos Personales:</w:t>
      </w:r>
      <w:r w:rsidRPr="000A4E05">
        <w:rPr>
          <w:rFonts w:ascii="Century Gothic" w:hAnsi="Century Gothic"/>
        </w:rPr>
        <w:t xml:space="preserve"> </w:t>
      </w:r>
      <w:r w:rsidR="000A4E05" w:rsidRPr="000A4E05">
        <w:rPr>
          <w:rFonts w:ascii="Century Gothic" w:hAnsi="Century Gothic"/>
        </w:rPr>
        <w:t xml:space="preserve">Señalar los puestos de los servidores públicos que tienen acceso a la base de datos del tratamiento correspondiente. Uno por fila. </w:t>
      </w:r>
    </w:p>
    <w:p w14:paraId="5D369BE3" w14:textId="77777777" w:rsidR="000A4E05" w:rsidRPr="00957D3C" w:rsidRDefault="000A4E05" w:rsidP="000A4E05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  <w:b/>
        </w:rPr>
      </w:pPr>
      <w:r w:rsidRPr="000F3438">
        <w:rPr>
          <w:rFonts w:ascii="Century Gothic" w:hAnsi="Century Gothic"/>
          <w:b/>
        </w:rPr>
        <w:t xml:space="preserve">Funciones y Obligaciones: </w:t>
      </w:r>
      <w:r w:rsidR="000F3438">
        <w:rPr>
          <w:rFonts w:ascii="Century Gothic" w:hAnsi="Century Gothic"/>
        </w:rPr>
        <w:t xml:space="preserve">Descripción breve de las funciones y obligaciones, que respecto a los datos personales, tiene el servidor público que administra o colabora en el sistema de datos personales en cuestión.  </w:t>
      </w:r>
    </w:p>
    <w:p w14:paraId="130746EF" w14:textId="77777777" w:rsidR="00957D3C" w:rsidRDefault="00957D3C" w:rsidP="00957D3C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957D3C">
        <w:rPr>
          <w:rFonts w:ascii="Century Gothic" w:hAnsi="Century Gothic"/>
          <w:b/>
        </w:rPr>
        <w:t>Datos Personales Tratados</w:t>
      </w:r>
      <w:r>
        <w:rPr>
          <w:rFonts w:ascii="Century Gothic" w:hAnsi="Century Gothic"/>
          <w:b/>
        </w:rPr>
        <w:t xml:space="preserve">: </w:t>
      </w:r>
      <w:r w:rsidRPr="00957D3C">
        <w:rPr>
          <w:rFonts w:ascii="Century Gothic" w:hAnsi="Century Gothic"/>
        </w:rPr>
        <w:t xml:space="preserve">El listado de todos </w:t>
      </w:r>
      <w:r>
        <w:rPr>
          <w:rFonts w:ascii="Century Gothic" w:hAnsi="Century Gothic"/>
        </w:rPr>
        <w:t xml:space="preserve">y cada uno de </w:t>
      </w:r>
      <w:r w:rsidRPr="00957D3C">
        <w:rPr>
          <w:rFonts w:ascii="Century Gothic" w:hAnsi="Century Gothic"/>
        </w:rPr>
        <w:t xml:space="preserve">los datos personales que se recaban, tratan </w:t>
      </w:r>
      <w:r>
        <w:rPr>
          <w:rFonts w:ascii="Century Gothic" w:hAnsi="Century Gothic"/>
        </w:rPr>
        <w:t xml:space="preserve">y contiene </w:t>
      </w:r>
      <w:r w:rsidRPr="00957D3C">
        <w:rPr>
          <w:rFonts w:ascii="Century Gothic" w:hAnsi="Century Gothic"/>
        </w:rPr>
        <w:t xml:space="preserve">el Sistema de Datos Personales. </w:t>
      </w:r>
    </w:p>
    <w:p w14:paraId="1938EEC8" w14:textId="77777777" w:rsidR="00642D08" w:rsidRPr="00642D08" w:rsidRDefault="00642D08" w:rsidP="00957D3C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Número Total de Datos Personales Tratados en el Sistema: </w:t>
      </w:r>
      <w:r w:rsidRPr="00642D08">
        <w:rPr>
          <w:rFonts w:ascii="Century Gothic" w:hAnsi="Century Gothic"/>
        </w:rPr>
        <w:t xml:space="preserve">Cantidad de datos personales que contiene el Sistema. </w:t>
      </w:r>
    </w:p>
    <w:p w14:paraId="72DC4D5D" w14:textId="1BE22FAB" w:rsidR="008722A0" w:rsidRPr="008722A0" w:rsidRDefault="00957D3C" w:rsidP="008722A0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957D3C">
        <w:rPr>
          <w:rFonts w:ascii="Century Gothic" w:hAnsi="Century Gothic"/>
          <w:b/>
        </w:rPr>
        <w:t>Datos Personales Sensibles Tratados</w:t>
      </w:r>
      <w:r>
        <w:rPr>
          <w:rFonts w:ascii="Century Gothic" w:hAnsi="Century Gothic"/>
        </w:rPr>
        <w:t>: Enlistar los datos personales sensibles que se tratan, de conformidad al</w:t>
      </w:r>
      <w:r w:rsidR="008722A0">
        <w:rPr>
          <w:rFonts w:ascii="Century Gothic" w:hAnsi="Century Gothic"/>
        </w:rPr>
        <w:t xml:space="preserve"> A</w:t>
      </w:r>
      <w:r>
        <w:rPr>
          <w:rFonts w:ascii="Century Gothic" w:hAnsi="Century Gothic"/>
        </w:rPr>
        <w:t xml:space="preserve">rtículo </w:t>
      </w:r>
      <w:r w:rsidR="008722A0">
        <w:rPr>
          <w:rFonts w:ascii="Century Gothic" w:hAnsi="Century Gothic"/>
        </w:rPr>
        <w:t>3</w:t>
      </w:r>
      <w:r>
        <w:rPr>
          <w:rFonts w:ascii="Century Gothic" w:hAnsi="Century Gothic"/>
        </w:rPr>
        <w:t xml:space="preserve">, </w:t>
      </w:r>
      <w:r w:rsidR="008722A0">
        <w:rPr>
          <w:rFonts w:ascii="Century Gothic" w:hAnsi="Century Gothic"/>
        </w:rPr>
        <w:t>fr</w:t>
      </w:r>
      <w:r>
        <w:rPr>
          <w:rFonts w:ascii="Century Gothic" w:hAnsi="Century Gothic"/>
        </w:rPr>
        <w:t>acción XI de la Ley</w:t>
      </w:r>
      <w:r w:rsidR="008722A0">
        <w:rPr>
          <w:rFonts w:ascii="Century Gothic" w:hAnsi="Century Gothic"/>
        </w:rPr>
        <w:t>.</w:t>
      </w:r>
    </w:p>
    <w:p w14:paraId="37F33378" w14:textId="400A437B" w:rsidR="003777DE" w:rsidRPr="00BB35D1" w:rsidRDefault="003777DE" w:rsidP="00BB35D1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BB35D1">
        <w:rPr>
          <w:rFonts w:ascii="Century Gothic" w:hAnsi="Century Gothic"/>
          <w:b/>
        </w:rPr>
        <w:t>Categoría de Datos Personales</w:t>
      </w:r>
      <w:r w:rsidRPr="00BB35D1">
        <w:rPr>
          <w:rFonts w:ascii="Century Gothic" w:hAnsi="Century Gothic"/>
        </w:rPr>
        <w:t xml:space="preserve">: </w:t>
      </w:r>
      <w:r w:rsidR="00BB35D1" w:rsidRPr="00BB35D1">
        <w:rPr>
          <w:rFonts w:ascii="Century Gothic" w:hAnsi="Century Gothic"/>
        </w:rPr>
        <w:t xml:space="preserve">Señalar a qué tipo de datos personales pertenecen los datos contenidos en el Sistema. Ver el catálogo de categorías de datos personales del </w:t>
      </w:r>
      <w:r w:rsidR="00D070D4">
        <w:rPr>
          <w:rFonts w:ascii="Century Gothic" w:hAnsi="Century Gothic"/>
        </w:rPr>
        <w:t>IQTP</w:t>
      </w:r>
      <w:r w:rsidR="00BB35D1" w:rsidRPr="00BB35D1">
        <w:rPr>
          <w:rFonts w:ascii="Century Gothic" w:hAnsi="Century Gothic"/>
        </w:rPr>
        <w:t xml:space="preserve">, en la sección de datos personales del sitio web institucional. Éstos pudieran ser: Datos de Identificación, Datos de Contacto, Datos Laborales, Datos sobre Características Físicas, Datos Académicos, Datos Patrimoniales o Financieros, entre otras. </w:t>
      </w:r>
      <w:r w:rsidRPr="00BB35D1">
        <w:rPr>
          <w:rFonts w:ascii="Century Gothic" w:hAnsi="Century Gothic"/>
        </w:rPr>
        <w:t xml:space="preserve">       </w:t>
      </w:r>
    </w:p>
    <w:p w14:paraId="080A6594" w14:textId="5F5F5E51" w:rsidR="00A67FE1" w:rsidRPr="00A67FE1" w:rsidRDefault="00BB35D1" w:rsidP="00A67FE1">
      <w:pPr>
        <w:pStyle w:val="Prrafodelista"/>
        <w:numPr>
          <w:ilvl w:val="0"/>
          <w:numId w:val="4"/>
        </w:numPr>
        <w:jc w:val="both"/>
        <w:rPr>
          <w:b/>
          <w:bCs/>
        </w:rPr>
      </w:pPr>
      <w:r w:rsidRPr="00A67FE1">
        <w:rPr>
          <w:rFonts w:ascii="Century Gothic" w:hAnsi="Century Gothic"/>
          <w:b/>
        </w:rPr>
        <w:t>Fundamento Legal del Tratamiento:</w:t>
      </w:r>
      <w:r w:rsidRPr="00A67FE1">
        <w:rPr>
          <w:rFonts w:ascii="Century Gothic" w:hAnsi="Century Gothic"/>
        </w:rPr>
        <w:t xml:space="preserve"> Atendiendo el principio de Licitud señalado en el artículo 12 de la Ley, cuál es el ordenamiento jurídico, legal o normativo, en donde se encuentran conferidas las facultades o atribuciones del responsable para llevar </w:t>
      </w:r>
      <w:r w:rsidR="003534F0" w:rsidRPr="00A67FE1">
        <w:rPr>
          <w:rFonts w:ascii="Century Gothic" w:hAnsi="Century Gothic"/>
        </w:rPr>
        <w:t>a cabo</w:t>
      </w:r>
      <w:r w:rsidRPr="00A67FE1">
        <w:rPr>
          <w:rFonts w:ascii="Century Gothic" w:hAnsi="Century Gothic"/>
        </w:rPr>
        <w:t xml:space="preserve"> el tratamiento de los datos personales. Ejemplo: </w:t>
      </w:r>
      <w:r w:rsidR="00741F5B">
        <w:rPr>
          <w:rFonts w:ascii="Century Gothic" w:hAnsi="Century Gothic"/>
        </w:rPr>
        <w:t>L</w:t>
      </w:r>
      <w:r w:rsidRPr="00A67FE1">
        <w:rPr>
          <w:rFonts w:ascii="Century Gothic" w:hAnsi="Century Gothic"/>
        </w:rPr>
        <w:t xml:space="preserve">a Ley de Responsabilidades de los Servidores Públicos del Estado de Quintana Roo. </w:t>
      </w:r>
      <w:r w:rsidR="00B8087A" w:rsidRPr="00A67FE1">
        <w:rPr>
          <w:rFonts w:ascii="Century Gothic" w:hAnsi="Century Gothic"/>
        </w:rPr>
        <w:t xml:space="preserve">Señalar </w:t>
      </w:r>
      <w:r w:rsidR="008722A0">
        <w:rPr>
          <w:rFonts w:ascii="Century Gothic" w:hAnsi="Century Gothic"/>
        </w:rPr>
        <w:t>(los)</w:t>
      </w:r>
      <w:r w:rsidR="00B8087A" w:rsidRPr="00A67FE1">
        <w:rPr>
          <w:rFonts w:ascii="Century Gothic" w:hAnsi="Century Gothic"/>
        </w:rPr>
        <w:t xml:space="preserve"> artículo (s) y fracción (es) de dicho fundamento legal. Puede ser más de un ordenamiento. </w:t>
      </w:r>
    </w:p>
    <w:p w14:paraId="11E79039" w14:textId="48C562CC" w:rsidR="00A67FE1" w:rsidRPr="00A67FE1" w:rsidRDefault="00B8087A" w:rsidP="00A67FE1">
      <w:pPr>
        <w:pStyle w:val="Prrafodelista"/>
        <w:numPr>
          <w:ilvl w:val="0"/>
          <w:numId w:val="4"/>
        </w:numPr>
        <w:jc w:val="both"/>
        <w:rPr>
          <w:b/>
          <w:bCs/>
        </w:rPr>
      </w:pPr>
      <w:r w:rsidRPr="00A67FE1">
        <w:rPr>
          <w:rFonts w:ascii="Century Gothic" w:hAnsi="Century Gothic"/>
          <w:b/>
        </w:rPr>
        <w:t xml:space="preserve">Hipervínculo del Fundamento Legal del Tratamiento: </w:t>
      </w:r>
      <w:r w:rsidRPr="00A67FE1">
        <w:rPr>
          <w:rFonts w:ascii="Century Gothic" w:hAnsi="Century Gothic"/>
        </w:rPr>
        <w:t>La liga</w:t>
      </w:r>
      <w:r w:rsidR="008722A0">
        <w:rPr>
          <w:rFonts w:ascii="Century Gothic" w:hAnsi="Century Gothic"/>
        </w:rPr>
        <w:t xml:space="preserve"> electrónica</w:t>
      </w:r>
      <w:r w:rsidRPr="00A67FE1">
        <w:rPr>
          <w:rFonts w:ascii="Century Gothic" w:hAnsi="Century Gothic"/>
        </w:rPr>
        <w:t xml:space="preserve"> (s) o link (s) de la normatividad aplicable donde le confieren al responsable las atribuciones para tratar los datos personales. </w:t>
      </w:r>
    </w:p>
    <w:p w14:paraId="7B9489AF" w14:textId="77777777" w:rsidR="00542805" w:rsidRDefault="00A67FE1" w:rsidP="00542805">
      <w:pPr>
        <w:pStyle w:val="Prrafodelista"/>
        <w:numPr>
          <w:ilvl w:val="0"/>
          <w:numId w:val="4"/>
        </w:numPr>
        <w:spacing w:line="240" w:lineRule="auto"/>
        <w:ind w:left="714" w:hanging="357"/>
        <w:jc w:val="both"/>
        <w:rPr>
          <w:b/>
          <w:bCs/>
        </w:rPr>
      </w:pPr>
      <w:r w:rsidRPr="00542805">
        <w:rPr>
          <w:rFonts w:ascii="Century Gothic" w:hAnsi="Century Gothic"/>
          <w:b/>
        </w:rPr>
        <w:t xml:space="preserve">Finalidad concreta, lícita y explícita del Tratamiento: </w:t>
      </w:r>
      <w:r w:rsidRPr="00A67FE1">
        <w:rPr>
          <w:rFonts w:ascii="Century Gothic" w:hAnsi="Century Gothic"/>
        </w:rPr>
        <w:t>Todo tratamiento de datos personales que efectúe el responsable deberá estar justificado por finalidades concretas, lícitas, explícitas y legítimas, relacionadas con las atribuciones que la norm</w:t>
      </w:r>
      <w:r>
        <w:rPr>
          <w:rFonts w:ascii="Century Gothic" w:hAnsi="Century Gothic"/>
        </w:rPr>
        <w:t>atividad aplicable les confiera, mismas que deberán estar establecidas en los avisos de privacidad del sistema de tratamiento.</w:t>
      </w:r>
      <w:r w:rsidRPr="00542805">
        <w:rPr>
          <w:b/>
          <w:bCs/>
        </w:rPr>
        <w:t xml:space="preserve"> </w:t>
      </w:r>
    </w:p>
    <w:p w14:paraId="0C72FA82" w14:textId="5A5592D0" w:rsidR="00A67FE1" w:rsidRPr="00542805" w:rsidRDefault="00A67FE1" w:rsidP="00542805">
      <w:pPr>
        <w:pStyle w:val="Prrafodelista"/>
        <w:numPr>
          <w:ilvl w:val="0"/>
          <w:numId w:val="4"/>
        </w:numPr>
        <w:spacing w:line="240" w:lineRule="auto"/>
        <w:ind w:left="714" w:hanging="357"/>
        <w:jc w:val="both"/>
        <w:rPr>
          <w:rFonts w:ascii="Century Gothic" w:hAnsi="Century Gothic"/>
          <w:b/>
          <w:bCs/>
        </w:rPr>
      </w:pPr>
      <w:r w:rsidRPr="00542805">
        <w:rPr>
          <w:rFonts w:ascii="Century Gothic" w:hAnsi="Century Gothic"/>
          <w:b/>
          <w:bCs/>
        </w:rPr>
        <w:t>Señalar si el tratamiento de DP requiere consentimiento</w:t>
      </w:r>
      <w:r w:rsidRPr="00542805">
        <w:rPr>
          <w:rFonts w:ascii="Century Gothic" w:hAnsi="Century Gothic"/>
          <w:bCs/>
        </w:rPr>
        <w:t>: El consentimiento implica que cuando no se actualice algunas causales de excepción previstas en el artículo19 de la Ley, e</w:t>
      </w:r>
      <w:r w:rsidRPr="00542805">
        <w:rPr>
          <w:rFonts w:ascii="Century Gothic" w:hAnsi="Century Gothic"/>
        </w:rPr>
        <w:t xml:space="preserve">l responsable deberá contar con el consentimiento previo del titular para el tratamiento de los datos personales. El consentimiento del titular deberá otorgarse de manera: libre, específica e informada. </w:t>
      </w:r>
      <w:r w:rsidRPr="00542805">
        <w:rPr>
          <w:rFonts w:ascii="Century Gothic" w:hAnsi="Century Gothic"/>
          <w:bCs/>
        </w:rPr>
        <w:t>Responder sí/no. Si su respuesta es no</w:t>
      </w:r>
      <w:r w:rsidR="00046356" w:rsidRPr="00542805">
        <w:rPr>
          <w:rFonts w:ascii="Century Gothic" w:hAnsi="Century Gothic"/>
          <w:bCs/>
        </w:rPr>
        <w:t>,</w:t>
      </w:r>
      <w:r w:rsidRPr="00542805">
        <w:rPr>
          <w:rFonts w:ascii="Century Gothic" w:hAnsi="Century Gothic"/>
          <w:bCs/>
        </w:rPr>
        <w:t xml:space="preserve"> deberá señalar alguna de las causales de excepción en la columna </w:t>
      </w:r>
      <w:r w:rsidR="00046356" w:rsidRPr="00542805">
        <w:rPr>
          <w:rFonts w:ascii="Century Gothic" w:hAnsi="Century Gothic"/>
          <w:bCs/>
        </w:rPr>
        <w:t>1</w:t>
      </w:r>
      <w:r w:rsidR="001C5B24" w:rsidRPr="00542805">
        <w:rPr>
          <w:rFonts w:ascii="Century Gothic" w:hAnsi="Century Gothic"/>
          <w:bCs/>
        </w:rPr>
        <w:t>8</w:t>
      </w:r>
      <w:r w:rsidR="008722A0">
        <w:rPr>
          <w:rFonts w:ascii="Century Gothic" w:hAnsi="Century Gothic"/>
          <w:bCs/>
        </w:rPr>
        <w:t xml:space="preserve"> del </w:t>
      </w:r>
      <w:r w:rsidR="00741F5B">
        <w:rPr>
          <w:rFonts w:ascii="Century Gothic" w:hAnsi="Century Gothic"/>
          <w:bCs/>
        </w:rPr>
        <w:t>I</w:t>
      </w:r>
      <w:r w:rsidR="008722A0">
        <w:rPr>
          <w:rFonts w:ascii="Century Gothic" w:hAnsi="Century Gothic"/>
          <w:bCs/>
        </w:rPr>
        <w:t xml:space="preserve">nventario de </w:t>
      </w:r>
      <w:r w:rsidR="00741F5B">
        <w:rPr>
          <w:rFonts w:ascii="Century Gothic" w:hAnsi="Century Gothic"/>
          <w:bCs/>
        </w:rPr>
        <w:t>D</w:t>
      </w:r>
      <w:r w:rsidR="008722A0">
        <w:rPr>
          <w:rFonts w:ascii="Century Gothic" w:hAnsi="Century Gothic"/>
          <w:bCs/>
        </w:rPr>
        <w:t xml:space="preserve">atos </w:t>
      </w:r>
      <w:r w:rsidR="00741F5B">
        <w:rPr>
          <w:rFonts w:ascii="Century Gothic" w:hAnsi="Century Gothic"/>
          <w:bCs/>
        </w:rPr>
        <w:t>P</w:t>
      </w:r>
      <w:r w:rsidR="008722A0">
        <w:rPr>
          <w:rFonts w:ascii="Century Gothic" w:hAnsi="Century Gothic"/>
          <w:bCs/>
        </w:rPr>
        <w:t xml:space="preserve">ersonales y su </w:t>
      </w:r>
      <w:r w:rsidR="00741F5B">
        <w:rPr>
          <w:rFonts w:ascii="Century Gothic" w:hAnsi="Century Gothic"/>
          <w:bCs/>
        </w:rPr>
        <w:t>S</w:t>
      </w:r>
      <w:r w:rsidR="008722A0">
        <w:rPr>
          <w:rFonts w:ascii="Century Gothic" w:hAnsi="Century Gothic"/>
          <w:bCs/>
        </w:rPr>
        <w:t xml:space="preserve">istema de </w:t>
      </w:r>
      <w:r w:rsidR="00741F5B">
        <w:rPr>
          <w:rFonts w:ascii="Century Gothic" w:hAnsi="Century Gothic"/>
          <w:bCs/>
        </w:rPr>
        <w:t>T</w:t>
      </w:r>
      <w:r w:rsidR="008722A0">
        <w:rPr>
          <w:rFonts w:ascii="Century Gothic" w:hAnsi="Century Gothic"/>
          <w:bCs/>
        </w:rPr>
        <w:t>ratamiento</w:t>
      </w:r>
      <w:r w:rsidR="00046356" w:rsidRPr="00542805">
        <w:rPr>
          <w:rFonts w:ascii="Century Gothic" w:hAnsi="Century Gothic"/>
          <w:bCs/>
        </w:rPr>
        <w:t xml:space="preserve">. </w:t>
      </w:r>
    </w:p>
    <w:p w14:paraId="3201117D" w14:textId="0024770F" w:rsidR="00A44AD3" w:rsidRPr="00542805" w:rsidRDefault="00046356" w:rsidP="00807A08">
      <w:pPr>
        <w:pStyle w:val="Prrafodelista"/>
        <w:numPr>
          <w:ilvl w:val="0"/>
          <w:numId w:val="4"/>
        </w:numPr>
        <w:rPr>
          <w:rFonts w:ascii="Century Gothic" w:hAnsi="Century Gothic"/>
        </w:rPr>
      </w:pPr>
      <w:r w:rsidRPr="00542805">
        <w:rPr>
          <w:rFonts w:ascii="Century Gothic" w:hAnsi="Century Gothic"/>
          <w:b/>
        </w:rPr>
        <w:t xml:space="preserve">En caso de recabar consentimiento, señalar </w:t>
      </w:r>
      <w:r w:rsidR="008722A0">
        <w:rPr>
          <w:rFonts w:ascii="Century Gothic" w:hAnsi="Century Gothic"/>
          <w:b/>
        </w:rPr>
        <w:t xml:space="preserve">de </w:t>
      </w:r>
      <w:r w:rsidRPr="00542805">
        <w:rPr>
          <w:rFonts w:ascii="Century Gothic" w:hAnsi="Century Gothic"/>
          <w:b/>
        </w:rPr>
        <w:t xml:space="preserve">qué tipo es: </w:t>
      </w:r>
      <w:r w:rsidR="00807A08" w:rsidRPr="00542805">
        <w:rPr>
          <w:rFonts w:ascii="Century Gothic" w:hAnsi="Century Gothic"/>
        </w:rPr>
        <w:t>E</w:t>
      </w:r>
      <w:r w:rsidRPr="00542805">
        <w:rPr>
          <w:rFonts w:ascii="Century Gothic" w:hAnsi="Century Gothic"/>
        </w:rPr>
        <w:t xml:space="preserve">xpreso; </w:t>
      </w:r>
      <w:r w:rsidR="00807A08" w:rsidRPr="00542805">
        <w:rPr>
          <w:rFonts w:ascii="Century Gothic" w:hAnsi="Century Gothic"/>
        </w:rPr>
        <w:t>T</w:t>
      </w:r>
      <w:r w:rsidRPr="00542805">
        <w:rPr>
          <w:rFonts w:ascii="Century Gothic" w:hAnsi="Century Gothic"/>
        </w:rPr>
        <w:t>ácito</w:t>
      </w:r>
      <w:r w:rsidR="008722A0">
        <w:rPr>
          <w:rFonts w:ascii="Century Gothic" w:hAnsi="Century Gothic"/>
        </w:rPr>
        <w:t xml:space="preserve"> y</w:t>
      </w:r>
      <w:r w:rsidR="00A44AD3" w:rsidRPr="00542805">
        <w:rPr>
          <w:rFonts w:ascii="Century Gothic" w:hAnsi="Century Gothic"/>
        </w:rPr>
        <w:t>;</w:t>
      </w:r>
      <w:r w:rsidRPr="00542805">
        <w:rPr>
          <w:rFonts w:ascii="Century Gothic" w:hAnsi="Century Gothic"/>
        </w:rPr>
        <w:t xml:space="preserve"> Expreso y por Escrito</w:t>
      </w:r>
      <w:r w:rsidR="00A44AD3" w:rsidRPr="00542805">
        <w:rPr>
          <w:rFonts w:ascii="Century Gothic" w:hAnsi="Century Gothic"/>
        </w:rPr>
        <w:t xml:space="preserve"> o N/A</w:t>
      </w:r>
      <w:r w:rsidRPr="00542805">
        <w:rPr>
          <w:rFonts w:ascii="Century Gothic" w:hAnsi="Century Gothic"/>
        </w:rPr>
        <w:t>. (ver el artículo 16 de la Ley)</w:t>
      </w:r>
      <w:r w:rsidR="00807A08" w:rsidRPr="00542805">
        <w:rPr>
          <w:rFonts w:ascii="Century Gothic" w:hAnsi="Century Gothic"/>
        </w:rPr>
        <w:t xml:space="preserve">. </w:t>
      </w:r>
    </w:p>
    <w:p w14:paraId="6E08AE17" w14:textId="45898DAF" w:rsidR="00807A08" w:rsidRPr="00A44AD3" w:rsidRDefault="00807A08" w:rsidP="001C5B24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542805">
        <w:rPr>
          <w:rFonts w:ascii="Century Gothic" w:hAnsi="Century Gothic"/>
          <w:b/>
        </w:rPr>
        <w:t xml:space="preserve">Supuestos del </w:t>
      </w:r>
      <w:r w:rsidR="00741F5B">
        <w:rPr>
          <w:rFonts w:ascii="Century Gothic" w:hAnsi="Century Gothic"/>
          <w:b/>
        </w:rPr>
        <w:t xml:space="preserve">Artículo </w:t>
      </w:r>
      <w:r w:rsidRPr="00542805">
        <w:rPr>
          <w:rFonts w:ascii="Century Gothic" w:hAnsi="Century Gothic"/>
          <w:b/>
        </w:rPr>
        <w:t xml:space="preserve">19 </w:t>
      </w:r>
      <w:r w:rsidR="008722A0">
        <w:rPr>
          <w:rFonts w:ascii="Century Gothic" w:hAnsi="Century Gothic"/>
          <w:b/>
        </w:rPr>
        <w:t>de la Ley</w:t>
      </w:r>
      <w:r w:rsidRPr="00542805">
        <w:rPr>
          <w:rFonts w:ascii="Century Gothic" w:hAnsi="Century Gothic"/>
          <w:b/>
        </w:rPr>
        <w:t>, que se actualizan:</w:t>
      </w:r>
      <w:r w:rsidRPr="00542805">
        <w:rPr>
          <w:rFonts w:ascii="Century Gothic" w:hAnsi="Century Gothic"/>
        </w:rPr>
        <w:t xml:space="preserve"> En caso de que la finalidad no</w:t>
      </w:r>
      <w:r w:rsidRPr="00A44AD3">
        <w:rPr>
          <w:rFonts w:ascii="Century Gothic" w:hAnsi="Century Gothic"/>
        </w:rPr>
        <w:t xml:space="preserve"> requiera el consentimiento del titular, señalar el o los supuestos del artículo 19 de la </w:t>
      </w:r>
      <w:r w:rsidR="00B23C8E" w:rsidRPr="00A44AD3">
        <w:rPr>
          <w:rFonts w:ascii="Century Gothic" w:hAnsi="Century Gothic"/>
        </w:rPr>
        <w:t>Ley que</w:t>
      </w:r>
      <w:r w:rsidRPr="00A44AD3">
        <w:rPr>
          <w:rFonts w:ascii="Century Gothic" w:hAnsi="Century Gothic"/>
        </w:rPr>
        <w:t xml:space="preserve"> se actualizan.  </w:t>
      </w:r>
    </w:p>
    <w:p w14:paraId="5E0BA5B6" w14:textId="745A208F" w:rsidR="00046356" w:rsidRDefault="00B23C8E" w:rsidP="00B23C8E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B23C8E">
        <w:rPr>
          <w:rFonts w:ascii="Century Gothic" w:hAnsi="Century Gothic"/>
          <w:b/>
        </w:rPr>
        <w:t>El tratamiento de los D</w:t>
      </w:r>
      <w:r w:rsidR="008722A0">
        <w:rPr>
          <w:rFonts w:ascii="Century Gothic" w:hAnsi="Century Gothic"/>
          <w:b/>
        </w:rPr>
        <w:t xml:space="preserve">atos </w:t>
      </w:r>
      <w:r w:rsidRPr="00B23C8E">
        <w:rPr>
          <w:rFonts w:ascii="Century Gothic" w:hAnsi="Century Gothic"/>
          <w:b/>
        </w:rPr>
        <w:t>P</w:t>
      </w:r>
      <w:r w:rsidR="008722A0">
        <w:rPr>
          <w:rFonts w:ascii="Century Gothic" w:hAnsi="Century Gothic"/>
          <w:b/>
        </w:rPr>
        <w:t>ersonales</w:t>
      </w:r>
      <w:r w:rsidRPr="00B23C8E">
        <w:rPr>
          <w:rFonts w:ascii="Century Gothic" w:hAnsi="Century Gothic"/>
          <w:b/>
        </w:rPr>
        <w:t xml:space="preserve"> conlleva</w:t>
      </w:r>
      <w:r w:rsidR="008722A0">
        <w:rPr>
          <w:rFonts w:ascii="Century Gothic" w:hAnsi="Century Gothic"/>
          <w:b/>
        </w:rPr>
        <w:t xml:space="preserve"> a su</w:t>
      </w:r>
      <w:r w:rsidRPr="00B23C8E">
        <w:rPr>
          <w:rFonts w:ascii="Century Gothic" w:hAnsi="Century Gothic"/>
          <w:b/>
        </w:rPr>
        <w:t xml:space="preserve"> difusión</w:t>
      </w:r>
      <w:r>
        <w:rPr>
          <w:rFonts w:ascii="Century Gothic" w:hAnsi="Century Gothic"/>
        </w:rPr>
        <w:t xml:space="preserve">: Indicar sí o no, en </w:t>
      </w:r>
      <w:r w:rsidRPr="00B23C8E">
        <w:rPr>
          <w:rFonts w:ascii="Century Gothic" w:hAnsi="Century Gothic"/>
        </w:rPr>
        <w:t>el tratamiento se realiza la difusión de los datos personales.</w:t>
      </w:r>
    </w:p>
    <w:p w14:paraId="7FE10C9B" w14:textId="77777777" w:rsidR="00B23C8E" w:rsidRDefault="00770360" w:rsidP="00B23C8E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Señale el Instrumento Jurídico que ordena la difusión de los</w:t>
      </w:r>
      <w:r w:rsidR="00B23C8E" w:rsidRPr="00B23C8E">
        <w:rPr>
          <w:rFonts w:ascii="Century Gothic" w:hAnsi="Century Gothic"/>
          <w:b/>
        </w:rPr>
        <w:t xml:space="preserve"> D</w:t>
      </w:r>
      <w:r>
        <w:rPr>
          <w:rFonts w:ascii="Century Gothic" w:hAnsi="Century Gothic"/>
          <w:b/>
        </w:rPr>
        <w:t xml:space="preserve">atos </w:t>
      </w:r>
      <w:r w:rsidR="00B23C8E" w:rsidRPr="00B23C8E">
        <w:rPr>
          <w:rFonts w:ascii="Century Gothic" w:hAnsi="Century Gothic"/>
          <w:b/>
        </w:rPr>
        <w:t>P</w:t>
      </w:r>
      <w:r>
        <w:rPr>
          <w:rFonts w:ascii="Century Gothic" w:hAnsi="Century Gothic"/>
          <w:b/>
        </w:rPr>
        <w:t>ersonales:</w:t>
      </w:r>
      <w:r w:rsidR="00B23C8E" w:rsidRPr="00B23C8E">
        <w:rPr>
          <w:rFonts w:ascii="Century Gothic" w:hAnsi="Century Gothic"/>
        </w:rPr>
        <w:t xml:space="preserve"> Indicar el fundamento jurídico que ordena la difusión de los datos personales.</w:t>
      </w:r>
      <w:r w:rsidR="00B23C8E">
        <w:rPr>
          <w:rFonts w:ascii="Century Gothic" w:hAnsi="Century Gothic"/>
        </w:rPr>
        <w:t xml:space="preserve"> Señalar el artículo o artículos y fracción (</w:t>
      </w:r>
      <w:r w:rsidR="00D33C98">
        <w:rPr>
          <w:rFonts w:ascii="Century Gothic" w:hAnsi="Century Gothic"/>
        </w:rPr>
        <w:t>o fracciones</w:t>
      </w:r>
      <w:r w:rsidR="00B23C8E">
        <w:rPr>
          <w:rFonts w:ascii="Century Gothic" w:hAnsi="Century Gothic"/>
        </w:rPr>
        <w:t xml:space="preserve">) del ordenamiento en cuestión. Ejemplo: la Ley de Transparencia. </w:t>
      </w:r>
    </w:p>
    <w:p w14:paraId="77ADA02C" w14:textId="77777777" w:rsidR="00EA2FC0" w:rsidRPr="00642D08" w:rsidRDefault="00FD02CD" w:rsidP="00FD02CD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  <w:b/>
        </w:rPr>
      </w:pPr>
      <w:r w:rsidRPr="00FD02CD">
        <w:rPr>
          <w:rFonts w:ascii="Century Gothic" w:hAnsi="Century Gothic"/>
          <w:b/>
        </w:rPr>
        <w:t xml:space="preserve">Señalar el </w:t>
      </w:r>
      <w:r>
        <w:rPr>
          <w:rFonts w:ascii="Century Gothic" w:hAnsi="Century Gothic"/>
          <w:b/>
        </w:rPr>
        <w:t>plazo de conservación de los D</w:t>
      </w:r>
      <w:r w:rsidR="00770360">
        <w:rPr>
          <w:rFonts w:ascii="Century Gothic" w:hAnsi="Century Gothic"/>
          <w:b/>
        </w:rPr>
        <w:t xml:space="preserve">atos </w:t>
      </w:r>
      <w:r>
        <w:rPr>
          <w:rFonts w:ascii="Century Gothic" w:hAnsi="Century Gothic"/>
          <w:b/>
        </w:rPr>
        <w:t>P</w:t>
      </w:r>
      <w:r w:rsidR="00770360">
        <w:rPr>
          <w:rFonts w:ascii="Century Gothic" w:hAnsi="Century Gothic"/>
          <w:b/>
        </w:rPr>
        <w:t>ersonales</w:t>
      </w:r>
      <w:r w:rsidR="00EA2FC0" w:rsidRPr="00EA2FC0">
        <w:rPr>
          <w:rFonts w:ascii="Century Gothic" w:hAnsi="Century Gothic"/>
          <w:b/>
        </w:rPr>
        <w:t xml:space="preserve">: </w:t>
      </w:r>
      <w:r w:rsidRPr="00FD02CD">
        <w:rPr>
          <w:rFonts w:ascii="Century Gothic" w:hAnsi="Century Gothic"/>
        </w:rPr>
        <w:t>Señalar el plazo de conservación de los datos personales, según lo señalado en los instrumentos de clasificación archivística</w:t>
      </w:r>
      <w:r>
        <w:rPr>
          <w:rFonts w:ascii="Century Gothic" w:hAnsi="Century Gothic"/>
        </w:rPr>
        <w:t xml:space="preserve">. </w:t>
      </w:r>
    </w:p>
    <w:p w14:paraId="5AE6C094" w14:textId="77777777" w:rsidR="00642D08" w:rsidRDefault="00E45F55" w:rsidP="00E45F55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S</w:t>
      </w:r>
      <w:r w:rsidR="00642D08" w:rsidRPr="00642D08">
        <w:rPr>
          <w:rFonts w:ascii="Century Gothic" w:hAnsi="Century Gothic"/>
          <w:b/>
        </w:rPr>
        <w:t>ección</w:t>
      </w:r>
      <w:r>
        <w:rPr>
          <w:rFonts w:ascii="Century Gothic" w:hAnsi="Century Gothic"/>
          <w:b/>
        </w:rPr>
        <w:t xml:space="preserve"> de Archivo: </w:t>
      </w:r>
      <w:r w:rsidRPr="00E45F55">
        <w:rPr>
          <w:rFonts w:ascii="Century Gothic" w:hAnsi="Century Gothic"/>
        </w:rPr>
        <w:t xml:space="preserve">Indicar </w:t>
      </w:r>
      <w:r>
        <w:rPr>
          <w:rFonts w:ascii="Century Gothic" w:hAnsi="Century Gothic"/>
        </w:rPr>
        <w:t xml:space="preserve">la </w:t>
      </w:r>
      <w:r w:rsidRPr="00E45F55">
        <w:rPr>
          <w:rFonts w:ascii="Century Gothic" w:hAnsi="Century Gothic"/>
        </w:rPr>
        <w:t>clave de identificación de la sección a la que corresponde el tratamiento</w:t>
      </w:r>
      <w:r>
        <w:rPr>
          <w:rFonts w:ascii="Century Gothic" w:hAnsi="Century Gothic"/>
        </w:rPr>
        <w:t>, con base a los instrumentos archivísticos</w:t>
      </w:r>
      <w:r w:rsidRPr="00E45F55">
        <w:rPr>
          <w:rFonts w:ascii="Century Gothic" w:hAnsi="Century Gothic"/>
        </w:rPr>
        <w:t xml:space="preserve">.  </w:t>
      </w:r>
    </w:p>
    <w:p w14:paraId="6176CCB3" w14:textId="77777777" w:rsidR="00E45F55" w:rsidRDefault="00E45F55" w:rsidP="00E45F55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E45F55">
        <w:rPr>
          <w:rFonts w:ascii="Century Gothic" w:hAnsi="Century Gothic"/>
          <w:b/>
        </w:rPr>
        <w:t>Serie de Archivos:</w:t>
      </w:r>
      <w:r>
        <w:rPr>
          <w:rFonts w:ascii="Century Gothic" w:hAnsi="Century Gothic"/>
        </w:rPr>
        <w:t xml:space="preserve"> </w:t>
      </w:r>
      <w:r w:rsidRPr="00E45F55">
        <w:rPr>
          <w:rFonts w:ascii="Century Gothic" w:hAnsi="Century Gothic"/>
        </w:rPr>
        <w:t>Indicar clave de identificación de la serie a la que corresponde el tratamiento.</w:t>
      </w:r>
    </w:p>
    <w:p w14:paraId="2597CE30" w14:textId="77777777" w:rsidR="00E45F55" w:rsidRDefault="00E45F55" w:rsidP="00A44AD3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E45F55">
        <w:rPr>
          <w:rFonts w:ascii="Century Gothic" w:hAnsi="Century Gothic"/>
          <w:b/>
        </w:rPr>
        <w:t>Subserie de Archivos</w:t>
      </w:r>
      <w:r>
        <w:rPr>
          <w:rFonts w:ascii="Century Gothic" w:hAnsi="Century Gothic"/>
        </w:rPr>
        <w:t>:</w:t>
      </w:r>
      <w:r w:rsidR="00A44AD3">
        <w:rPr>
          <w:rFonts w:ascii="Century Gothic" w:hAnsi="Century Gothic"/>
        </w:rPr>
        <w:t xml:space="preserve"> </w:t>
      </w:r>
      <w:r w:rsidR="00A44AD3" w:rsidRPr="00A44AD3">
        <w:rPr>
          <w:rFonts w:ascii="Century Gothic" w:hAnsi="Century Gothic"/>
        </w:rPr>
        <w:t xml:space="preserve">Indicar clave de identificación de la subserie a la que corresponde el tratamiento.  </w:t>
      </w:r>
    </w:p>
    <w:p w14:paraId="4BCDD523" w14:textId="77C83AFA" w:rsidR="001C5B24" w:rsidRDefault="00834C44" w:rsidP="00834C44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834C44">
        <w:rPr>
          <w:rFonts w:ascii="Century Gothic" w:hAnsi="Century Gothic"/>
          <w:b/>
        </w:rPr>
        <w:t xml:space="preserve">Riesgo Inherente y Nivel de Riesgo por </w:t>
      </w:r>
      <w:r w:rsidR="008722A0">
        <w:rPr>
          <w:rFonts w:ascii="Century Gothic" w:hAnsi="Century Gothic"/>
          <w:b/>
        </w:rPr>
        <w:t>Ti</w:t>
      </w:r>
      <w:r w:rsidRPr="00834C44">
        <w:rPr>
          <w:rFonts w:ascii="Century Gothic" w:hAnsi="Century Gothic"/>
          <w:b/>
        </w:rPr>
        <w:t>po de Dato Recabado y Tratado</w:t>
      </w:r>
      <w:r w:rsidR="001C5B24" w:rsidRPr="001C5B24">
        <w:rPr>
          <w:rFonts w:ascii="Century Gothic" w:hAnsi="Century Gothic"/>
        </w:rPr>
        <w:t>.</w:t>
      </w:r>
      <w:r w:rsidR="001C5B24">
        <w:rPr>
          <w:rFonts w:ascii="Century Gothic" w:hAnsi="Century Gothic"/>
        </w:rPr>
        <w:t xml:space="preserve"> Determinar el valor del riesgo con base al a</w:t>
      </w:r>
      <w:r w:rsidR="001C5B24" w:rsidRPr="001C5B24">
        <w:rPr>
          <w:rFonts w:ascii="Century Gothic" w:hAnsi="Century Gothic"/>
        </w:rPr>
        <w:t xml:space="preserve">nálisis de </w:t>
      </w:r>
      <w:r w:rsidR="001C5B24">
        <w:rPr>
          <w:rFonts w:ascii="Century Gothic" w:hAnsi="Century Gothic"/>
        </w:rPr>
        <w:t>r</w:t>
      </w:r>
      <w:r w:rsidR="001C5B24" w:rsidRPr="001C5B24">
        <w:rPr>
          <w:rFonts w:ascii="Century Gothic" w:hAnsi="Century Gothic"/>
        </w:rPr>
        <w:t xml:space="preserve">iesgos </w:t>
      </w:r>
      <w:r w:rsidR="001C5B24">
        <w:rPr>
          <w:rFonts w:ascii="Century Gothic" w:hAnsi="Century Gothic"/>
        </w:rPr>
        <w:t>de la</w:t>
      </w:r>
      <w:r w:rsidR="001C5B24" w:rsidRPr="001C5B24">
        <w:rPr>
          <w:rFonts w:ascii="Century Gothic" w:hAnsi="Century Gothic"/>
        </w:rPr>
        <w:t xml:space="preserve"> Metodología BAA</w:t>
      </w:r>
      <w:r w:rsidR="001C5B24">
        <w:rPr>
          <w:rFonts w:ascii="Century Gothic" w:hAnsi="Century Gothic"/>
        </w:rPr>
        <w:t xml:space="preserve">, señalada en el Documento Orientador </w:t>
      </w:r>
      <w:r w:rsidR="00DE4FC0">
        <w:rPr>
          <w:rFonts w:ascii="Century Gothic" w:hAnsi="Century Gothic"/>
        </w:rPr>
        <w:t xml:space="preserve">para la Implementación </w:t>
      </w:r>
      <w:r w:rsidR="001C5B24">
        <w:rPr>
          <w:rFonts w:ascii="Century Gothic" w:hAnsi="Century Gothic"/>
        </w:rPr>
        <w:t xml:space="preserve">del Sistema de Gestión del </w:t>
      </w:r>
      <w:r w:rsidR="00D070D4">
        <w:rPr>
          <w:rFonts w:ascii="Century Gothic" w:hAnsi="Century Gothic"/>
        </w:rPr>
        <w:t>IQTP</w:t>
      </w:r>
      <w:r w:rsidR="001C5B24">
        <w:rPr>
          <w:rFonts w:ascii="Century Gothic" w:hAnsi="Century Gothic"/>
        </w:rPr>
        <w:t xml:space="preserve">.  </w:t>
      </w:r>
    </w:p>
    <w:p w14:paraId="3276876B" w14:textId="77777777" w:rsidR="007614BB" w:rsidRDefault="007614BB" w:rsidP="007614BB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7614BB">
        <w:rPr>
          <w:rFonts w:ascii="Century Gothic" w:hAnsi="Century Gothic"/>
          <w:b/>
        </w:rPr>
        <w:t xml:space="preserve">Tipo de Soporte: </w:t>
      </w:r>
      <w:r w:rsidRPr="007614BB">
        <w:rPr>
          <w:rFonts w:ascii="Century Gothic" w:hAnsi="Century Gothic"/>
        </w:rPr>
        <w:t xml:space="preserve">Señalar el tipo de almacenamiento en el que se encuentran los datos personales: soportes físicos; soportes electrónicos o ambos tipos de soporte. </w:t>
      </w:r>
    </w:p>
    <w:p w14:paraId="0835D656" w14:textId="4D0A238B" w:rsidR="00514495" w:rsidRDefault="00514495" w:rsidP="00514495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514495">
        <w:rPr>
          <w:rFonts w:ascii="Century Gothic" w:hAnsi="Century Gothic"/>
          <w:b/>
        </w:rPr>
        <w:t>¿Se realizan transferencias?:</w:t>
      </w:r>
      <w:r w:rsidRPr="00514495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Señalar sí o no, en el marco del tratamiento de los Datos Personales.  </w:t>
      </w:r>
    </w:p>
    <w:p w14:paraId="146C5924" w14:textId="77777777" w:rsidR="00514495" w:rsidRDefault="00514495" w:rsidP="00514495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Sujeto Obligado o </w:t>
      </w:r>
      <w:r w:rsidRPr="00514495">
        <w:rPr>
          <w:rFonts w:ascii="Century Gothic" w:hAnsi="Century Gothic"/>
          <w:b/>
        </w:rPr>
        <w:t>Tercero al que se transfieren los datos personales, en su caso</w:t>
      </w:r>
      <w:r>
        <w:rPr>
          <w:rFonts w:ascii="Century Gothic" w:hAnsi="Century Gothic"/>
        </w:rPr>
        <w:t xml:space="preserve">: </w:t>
      </w:r>
      <w:r w:rsidRPr="00514495">
        <w:rPr>
          <w:rFonts w:ascii="Century Gothic" w:hAnsi="Century Gothic"/>
        </w:rPr>
        <w:t>Señalar el nombre</w:t>
      </w:r>
      <w:r>
        <w:rPr>
          <w:rFonts w:ascii="Century Gothic" w:hAnsi="Century Gothic"/>
        </w:rPr>
        <w:t xml:space="preserve"> del Sujetos Obligado</w:t>
      </w:r>
      <w:r w:rsidRPr="00514495">
        <w:rPr>
          <w:rFonts w:ascii="Century Gothic" w:hAnsi="Century Gothic"/>
        </w:rPr>
        <w:t xml:space="preserve">, razón o denominación social de los terceros a los que se transfieren los datos personales, cuando ello sea posible, o bien, </w:t>
      </w:r>
      <w:r>
        <w:rPr>
          <w:rFonts w:ascii="Century Gothic" w:hAnsi="Century Gothic"/>
        </w:rPr>
        <w:t>N/A en su caso</w:t>
      </w:r>
      <w:r w:rsidRPr="00514495">
        <w:rPr>
          <w:rFonts w:ascii="Century Gothic" w:hAnsi="Century Gothic"/>
        </w:rPr>
        <w:t>. Uno por fila</w:t>
      </w:r>
      <w:r>
        <w:rPr>
          <w:rFonts w:ascii="Century Gothic" w:hAnsi="Century Gothic"/>
        </w:rPr>
        <w:t xml:space="preserve"> (de ser varios)</w:t>
      </w:r>
      <w:r w:rsidRPr="00514495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Ejemplo: IMSS. </w:t>
      </w:r>
    </w:p>
    <w:p w14:paraId="1BA480E3" w14:textId="77777777" w:rsidR="00514495" w:rsidRDefault="00514495" w:rsidP="00514495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Finalidades de la Transferencia</w:t>
      </w:r>
      <w:r w:rsidRPr="00514495">
        <w:rPr>
          <w:rFonts w:ascii="Century Gothic" w:hAnsi="Century Gothic"/>
        </w:rPr>
        <w:t>:</w:t>
      </w:r>
      <w:r>
        <w:rPr>
          <w:rFonts w:ascii="Century Gothic" w:hAnsi="Century Gothic"/>
        </w:rPr>
        <w:t xml:space="preserve"> </w:t>
      </w:r>
      <w:r w:rsidRPr="00514495">
        <w:rPr>
          <w:rFonts w:ascii="Century Gothic" w:hAnsi="Century Gothic"/>
        </w:rPr>
        <w:t>Señalar las finalidades para las cuales se transfieren los datos personales por cada uno de los terceros.</w:t>
      </w:r>
    </w:p>
    <w:p w14:paraId="10F150E5" w14:textId="77777777" w:rsidR="00514495" w:rsidRDefault="00514495" w:rsidP="00514495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514495">
        <w:rPr>
          <w:rFonts w:ascii="Century Gothic" w:hAnsi="Century Gothic"/>
          <w:b/>
        </w:rPr>
        <w:t>¿Requiere consentimiento la transferencia?</w:t>
      </w:r>
      <w:r w:rsidRPr="00514495">
        <w:t xml:space="preserve"> </w:t>
      </w:r>
      <w:r w:rsidRPr="00514495">
        <w:rPr>
          <w:rFonts w:ascii="Century Gothic" w:hAnsi="Century Gothic"/>
        </w:rPr>
        <w:t>Señalar si la transferencia requiere o no consentimiento.</w:t>
      </w:r>
    </w:p>
    <w:p w14:paraId="14B91F29" w14:textId="140A3346" w:rsidR="00514495" w:rsidRDefault="00514495" w:rsidP="007D733D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7D733D">
        <w:rPr>
          <w:rFonts w:ascii="Century Gothic" w:hAnsi="Century Gothic"/>
          <w:b/>
        </w:rPr>
        <w:t xml:space="preserve">Supuestos del </w:t>
      </w:r>
      <w:r w:rsidR="00DD30F8">
        <w:rPr>
          <w:rFonts w:ascii="Century Gothic" w:hAnsi="Century Gothic"/>
          <w:b/>
        </w:rPr>
        <w:t>A</w:t>
      </w:r>
      <w:r w:rsidRPr="007D733D">
        <w:rPr>
          <w:rFonts w:ascii="Century Gothic" w:hAnsi="Century Gothic"/>
          <w:b/>
        </w:rPr>
        <w:t>rt</w:t>
      </w:r>
      <w:r w:rsidR="00DD30F8">
        <w:rPr>
          <w:rFonts w:ascii="Century Gothic" w:hAnsi="Century Gothic"/>
          <w:b/>
        </w:rPr>
        <w:t>ículo</w:t>
      </w:r>
      <w:r w:rsidRPr="007D733D">
        <w:rPr>
          <w:rFonts w:ascii="Century Gothic" w:hAnsi="Century Gothic"/>
          <w:b/>
        </w:rPr>
        <w:t xml:space="preserve"> 7</w:t>
      </w:r>
      <w:r w:rsidR="00733786">
        <w:rPr>
          <w:rFonts w:ascii="Century Gothic" w:hAnsi="Century Gothic"/>
          <w:b/>
        </w:rPr>
        <w:t>2</w:t>
      </w:r>
      <w:r w:rsidRPr="007D733D">
        <w:rPr>
          <w:rFonts w:ascii="Century Gothic" w:hAnsi="Century Gothic"/>
          <w:b/>
        </w:rPr>
        <w:t xml:space="preserve"> </w:t>
      </w:r>
      <w:r w:rsidR="00DD30F8">
        <w:rPr>
          <w:rFonts w:ascii="Century Gothic" w:hAnsi="Century Gothic"/>
          <w:b/>
        </w:rPr>
        <w:t>de la Ley</w:t>
      </w:r>
      <w:r w:rsidRPr="007D733D">
        <w:rPr>
          <w:rFonts w:ascii="Century Gothic" w:hAnsi="Century Gothic"/>
          <w:b/>
        </w:rPr>
        <w:t xml:space="preserve">, que se actualiza. </w:t>
      </w:r>
      <w:r w:rsidR="007D733D" w:rsidRPr="007D733D">
        <w:rPr>
          <w:rFonts w:ascii="Century Gothic" w:hAnsi="Century Gothic"/>
        </w:rPr>
        <w:t>Señalar el supuesto que en su caso se actualiza, si no</w:t>
      </w:r>
      <w:r w:rsidR="007D733D">
        <w:rPr>
          <w:rFonts w:ascii="Century Gothic" w:hAnsi="Century Gothic"/>
        </w:rPr>
        <w:t>,</w:t>
      </w:r>
      <w:r w:rsidR="007D733D" w:rsidRPr="007D733D">
        <w:rPr>
          <w:rFonts w:ascii="Century Gothic" w:hAnsi="Century Gothic"/>
        </w:rPr>
        <w:t xml:space="preserve"> se requiere de la suscripción de cláusulas contractuales, convenios de colaboración u otro instrumento jurídico.</w:t>
      </w:r>
      <w:r w:rsidRPr="007D733D">
        <w:rPr>
          <w:rFonts w:ascii="Century Gothic" w:hAnsi="Century Gothic"/>
        </w:rPr>
        <w:t xml:space="preserve"> </w:t>
      </w:r>
    </w:p>
    <w:p w14:paraId="1CED23B1" w14:textId="490D4C1D" w:rsidR="007D733D" w:rsidRDefault="00136D1D" w:rsidP="00136D1D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136D1D">
        <w:rPr>
          <w:rFonts w:ascii="Century Gothic" w:hAnsi="Century Gothic"/>
          <w:b/>
        </w:rPr>
        <w:t xml:space="preserve">¿La transferencia requiere la suscripción de cláusulas contractuales, convenios de colaboración u otro instrumento jurídico? </w:t>
      </w:r>
      <w:r w:rsidRPr="00136D1D">
        <w:rPr>
          <w:rFonts w:ascii="Century Gothic" w:hAnsi="Century Gothic"/>
        </w:rPr>
        <w:t xml:space="preserve">Indicar si la transferencia requiere de la suscripción de cláusulas contractuales, convenios de colaboración u otro instrumento jurídico, según el </w:t>
      </w:r>
      <w:r w:rsidR="00741F5B">
        <w:rPr>
          <w:rFonts w:ascii="Century Gothic" w:hAnsi="Century Gothic"/>
        </w:rPr>
        <w:t>A</w:t>
      </w:r>
      <w:r w:rsidRPr="00136D1D">
        <w:rPr>
          <w:rFonts w:ascii="Century Gothic" w:hAnsi="Century Gothic"/>
        </w:rPr>
        <w:t>rtículo 7</w:t>
      </w:r>
      <w:r w:rsidR="00733786">
        <w:rPr>
          <w:rFonts w:ascii="Century Gothic" w:hAnsi="Century Gothic"/>
        </w:rPr>
        <w:t>2</w:t>
      </w:r>
      <w:r w:rsidRPr="00136D1D">
        <w:rPr>
          <w:rFonts w:ascii="Century Gothic" w:hAnsi="Century Gothic"/>
        </w:rPr>
        <w:t xml:space="preserve"> de la </w:t>
      </w:r>
      <w:r w:rsidR="00DD30F8">
        <w:rPr>
          <w:rFonts w:ascii="Century Gothic" w:hAnsi="Century Gothic"/>
        </w:rPr>
        <w:t>Ley</w:t>
      </w:r>
      <w:r w:rsidRPr="00136D1D">
        <w:rPr>
          <w:rFonts w:ascii="Century Gothic" w:hAnsi="Century Gothic"/>
        </w:rPr>
        <w:t>.</w:t>
      </w:r>
    </w:p>
    <w:p w14:paraId="507EEED4" w14:textId="2B7FA30B" w:rsidR="00FC54F8" w:rsidRDefault="00FC54F8" w:rsidP="00FC54F8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</w:rPr>
      </w:pPr>
      <w:r w:rsidRPr="00542805">
        <w:rPr>
          <w:rFonts w:ascii="Century Gothic" w:hAnsi="Century Gothic"/>
          <w:b/>
        </w:rPr>
        <w:t>Supuesto</w:t>
      </w:r>
      <w:r w:rsidR="00542805">
        <w:rPr>
          <w:rFonts w:ascii="Century Gothic" w:hAnsi="Century Gothic"/>
          <w:b/>
        </w:rPr>
        <w:t xml:space="preserve"> del</w:t>
      </w:r>
      <w:r w:rsidRPr="00542805">
        <w:rPr>
          <w:rFonts w:ascii="Century Gothic" w:hAnsi="Century Gothic"/>
          <w:b/>
        </w:rPr>
        <w:t xml:space="preserve"> </w:t>
      </w:r>
      <w:r w:rsidR="00DD30F8">
        <w:rPr>
          <w:rFonts w:ascii="Century Gothic" w:hAnsi="Century Gothic"/>
          <w:b/>
        </w:rPr>
        <w:t>A</w:t>
      </w:r>
      <w:r w:rsidRPr="00542805">
        <w:rPr>
          <w:rFonts w:ascii="Century Gothic" w:hAnsi="Century Gothic"/>
          <w:b/>
        </w:rPr>
        <w:t xml:space="preserve">rtículo </w:t>
      </w:r>
      <w:r w:rsidR="00733786">
        <w:rPr>
          <w:rFonts w:ascii="Century Gothic" w:hAnsi="Century Gothic"/>
          <w:b/>
        </w:rPr>
        <w:t>76</w:t>
      </w:r>
      <w:r w:rsidR="00741F5B">
        <w:rPr>
          <w:rFonts w:ascii="Century Gothic" w:hAnsi="Century Gothic"/>
          <w:b/>
        </w:rPr>
        <w:t xml:space="preserve"> de la Ley</w:t>
      </w:r>
      <w:r w:rsidRPr="00542805">
        <w:rPr>
          <w:rFonts w:ascii="Century Gothic" w:hAnsi="Century Gothic"/>
          <w:b/>
        </w:rPr>
        <w:t xml:space="preserve"> que se actualiza, en su caso.</w:t>
      </w:r>
      <w:r>
        <w:rPr>
          <w:rFonts w:ascii="Century Gothic" w:hAnsi="Century Gothic"/>
        </w:rPr>
        <w:t xml:space="preserve"> </w:t>
      </w:r>
      <w:r w:rsidRPr="00542805">
        <w:rPr>
          <w:rFonts w:ascii="Century Gothic" w:hAnsi="Century Gothic"/>
        </w:rPr>
        <w:t xml:space="preserve">Si señaló que la transferencia no </w:t>
      </w:r>
      <w:r w:rsidRPr="003534F0">
        <w:rPr>
          <w:rFonts w:ascii="Century Gothic" w:hAnsi="Century Gothic"/>
        </w:rPr>
        <w:t>requ</w:t>
      </w:r>
      <w:r w:rsidR="00542805" w:rsidRPr="003534F0">
        <w:rPr>
          <w:rFonts w:ascii="Century Gothic" w:hAnsi="Century Gothic"/>
        </w:rPr>
        <w:t>iere consentimiento (en el apartado 30), señale el o los supuest</w:t>
      </w:r>
      <w:r w:rsidR="00542805" w:rsidRPr="00542805">
        <w:rPr>
          <w:rFonts w:ascii="Century Gothic" w:hAnsi="Century Gothic"/>
        </w:rPr>
        <w:t xml:space="preserve">os del </w:t>
      </w:r>
      <w:r w:rsidR="00741F5B">
        <w:rPr>
          <w:rFonts w:ascii="Century Gothic" w:hAnsi="Century Gothic"/>
        </w:rPr>
        <w:t>A</w:t>
      </w:r>
      <w:r w:rsidR="00542805" w:rsidRPr="00542805">
        <w:rPr>
          <w:rFonts w:ascii="Century Gothic" w:hAnsi="Century Gothic"/>
        </w:rPr>
        <w:t xml:space="preserve">rtículo </w:t>
      </w:r>
      <w:r w:rsidR="00733786">
        <w:rPr>
          <w:rFonts w:ascii="Century Gothic" w:hAnsi="Century Gothic"/>
        </w:rPr>
        <w:t xml:space="preserve">76 </w:t>
      </w:r>
      <w:r w:rsidR="00542805">
        <w:rPr>
          <w:rFonts w:ascii="Century Gothic" w:hAnsi="Century Gothic"/>
        </w:rPr>
        <w:t xml:space="preserve">de </w:t>
      </w:r>
      <w:r w:rsidR="00DD30F8">
        <w:rPr>
          <w:rFonts w:ascii="Century Gothic" w:hAnsi="Century Gothic"/>
        </w:rPr>
        <w:t>la Ley</w:t>
      </w:r>
      <w:r w:rsidR="00542805">
        <w:rPr>
          <w:rFonts w:ascii="Century Gothic" w:hAnsi="Century Gothic"/>
        </w:rPr>
        <w:t xml:space="preserve">, </w:t>
      </w:r>
      <w:r w:rsidR="00542805" w:rsidRPr="00542805">
        <w:rPr>
          <w:rFonts w:ascii="Century Gothic" w:hAnsi="Century Gothic"/>
        </w:rPr>
        <w:t xml:space="preserve">que se actualiza en su caso. </w:t>
      </w:r>
    </w:p>
    <w:p w14:paraId="309D1754" w14:textId="77777777" w:rsidR="009166AF" w:rsidRPr="00770360" w:rsidRDefault="00542805" w:rsidP="009166AF">
      <w:pPr>
        <w:pStyle w:val="Prrafodelista"/>
        <w:numPr>
          <w:ilvl w:val="0"/>
          <w:numId w:val="4"/>
        </w:numPr>
        <w:ind w:left="360"/>
        <w:jc w:val="center"/>
        <w:rPr>
          <w:rFonts w:ascii="Century Gothic" w:hAnsi="Century Gothic"/>
        </w:rPr>
      </w:pPr>
      <w:r w:rsidRPr="00770360">
        <w:rPr>
          <w:rFonts w:ascii="Century Gothic" w:hAnsi="Century Gothic"/>
          <w:b/>
        </w:rPr>
        <w:t>Observaciones:</w:t>
      </w:r>
      <w:r w:rsidRPr="00770360">
        <w:rPr>
          <w:rFonts w:ascii="Century Gothic" w:hAnsi="Century Gothic"/>
        </w:rPr>
        <w:t xml:space="preserve"> Señalamientos adicionales que considere importante mencionar. </w:t>
      </w:r>
    </w:p>
    <w:sectPr w:rsidR="009166AF" w:rsidRPr="00770360" w:rsidSect="009D33FA">
      <w:pgSz w:w="12240" w:h="15840"/>
      <w:pgMar w:top="1985" w:right="146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94AF4" w14:textId="77777777" w:rsidR="00D46371" w:rsidRDefault="00D46371" w:rsidP="009D33FA">
      <w:pPr>
        <w:spacing w:after="0" w:line="240" w:lineRule="auto"/>
      </w:pPr>
      <w:r>
        <w:separator/>
      </w:r>
    </w:p>
  </w:endnote>
  <w:endnote w:type="continuationSeparator" w:id="0">
    <w:p w14:paraId="5FB5DC4C" w14:textId="77777777" w:rsidR="00D46371" w:rsidRDefault="00D46371" w:rsidP="009D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8729C" w14:textId="77777777" w:rsidR="00D46371" w:rsidRDefault="00D46371" w:rsidP="009D33FA">
      <w:pPr>
        <w:spacing w:after="0" w:line="240" w:lineRule="auto"/>
      </w:pPr>
      <w:r>
        <w:separator/>
      </w:r>
    </w:p>
  </w:footnote>
  <w:footnote w:type="continuationSeparator" w:id="0">
    <w:p w14:paraId="542970F6" w14:textId="77777777" w:rsidR="00D46371" w:rsidRDefault="00D46371" w:rsidP="009D3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3B5"/>
    <w:multiLevelType w:val="hybridMultilevel"/>
    <w:tmpl w:val="EEC005FE"/>
    <w:lvl w:ilvl="0" w:tplc="90C667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21AEF"/>
    <w:multiLevelType w:val="hybridMultilevel"/>
    <w:tmpl w:val="D9DA41C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0268B"/>
    <w:multiLevelType w:val="hybridMultilevel"/>
    <w:tmpl w:val="D25CD3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06803"/>
    <w:multiLevelType w:val="hybridMultilevel"/>
    <w:tmpl w:val="8940BD76"/>
    <w:lvl w:ilvl="0" w:tplc="9822F43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E62B4"/>
    <w:multiLevelType w:val="hybridMultilevel"/>
    <w:tmpl w:val="B1825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A0A77"/>
    <w:multiLevelType w:val="hybridMultilevel"/>
    <w:tmpl w:val="F034B83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A0D4F"/>
    <w:multiLevelType w:val="hybridMultilevel"/>
    <w:tmpl w:val="D5B66830"/>
    <w:lvl w:ilvl="0" w:tplc="6ABE8972">
      <w:start w:val="1"/>
      <w:numFmt w:val="upperRoman"/>
      <w:lvlText w:val="%1."/>
      <w:lvlJc w:val="right"/>
      <w:pPr>
        <w:ind w:left="794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514" w:hanging="360"/>
      </w:pPr>
    </w:lvl>
    <w:lvl w:ilvl="2" w:tplc="080A001B" w:tentative="1">
      <w:start w:val="1"/>
      <w:numFmt w:val="lowerRoman"/>
      <w:lvlText w:val="%3."/>
      <w:lvlJc w:val="right"/>
      <w:pPr>
        <w:ind w:left="2234" w:hanging="180"/>
      </w:pPr>
    </w:lvl>
    <w:lvl w:ilvl="3" w:tplc="080A000F" w:tentative="1">
      <w:start w:val="1"/>
      <w:numFmt w:val="decimal"/>
      <w:lvlText w:val="%4."/>
      <w:lvlJc w:val="left"/>
      <w:pPr>
        <w:ind w:left="2954" w:hanging="360"/>
      </w:pPr>
    </w:lvl>
    <w:lvl w:ilvl="4" w:tplc="080A0019" w:tentative="1">
      <w:start w:val="1"/>
      <w:numFmt w:val="lowerLetter"/>
      <w:lvlText w:val="%5."/>
      <w:lvlJc w:val="left"/>
      <w:pPr>
        <w:ind w:left="3674" w:hanging="360"/>
      </w:pPr>
    </w:lvl>
    <w:lvl w:ilvl="5" w:tplc="080A001B" w:tentative="1">
      <w:start w:val="1"/>
      <w:numFmt w:val="lowerRoman"/>
      <w:lvlText w:val="%6."/>
      <w:lvlJc w:val="right"/>
      <w:pPr>
        <w:ind w:left="4394" w:hanging="180"/>
      </w:pPr>
    </w:lvl>
    <w:lvl w:ilvl="6" w:tplc="080A000F" w:tentative="1">
      <w:start w:val="1"/>
      <w:numFmt w:val="decimal"/>
      <w:lvlText w:val="%7."/>
      <w:lvlJc w:val="left"/>
      <w:pPr>
        <w:ind w:left="5114" w:hanging="360"/>
      </w:pPr>
    </w:lvl>
    <w:lvl w:ilvl="7" w:tplc="080A0019" w:tentative="1">
      <w:start w:val="1"/>
      <w:numFmt w:val="lowerLetter"/>
      <w:lvlText w:val="%8."/>
      <w:lvlJc w:val="left"/>
      <w:pPr>
        <w:ind w:left="5834" w:hanging="360"/>
      </w:pPr>
    </w:lvl>
    <w:lvl w:ilvl="8" w:tplc="080A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" w15:restartNumberingAfterBreak="0">
    <w:nsid w:val="6D6F12C8"/>
    <w:multiLevelType w:val="hybridMultilevel"/>
    <w:tmpl w:val="6150B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923139">
    <w:abstractNumId w:val="7"/>
  </w:num>
  <w:num w:numId="2" w16cid:durableId="2047949341">
    <w:abstractNumId w:val="4"/>
  </w:num>
  <w:num w:numId="3" w16cid:durableId="238249705">
    <w:abstractNumId w:val="2"/>
  </w:num>
  <w:num w:numId="4" w16cid:durableId="1909218409">
    <w:abstractNumId w:val="5"/>
  </w:num>
  <w:num w:numId="5" w16cid:durableId="545680852">
    <w:abstractNumId w:val="1"/>
  </w:num>
  <w:num w:numId="6" w16cid:durableId="1213735580">
    <w:abstractNumId w:val="0"/>
  </w:num>
  <w:num w:numId="7" w16cid:durableId="711687228">
    <w:abstractNumId w:val="3"/>
  </w:num>
  <w:num w:numId="8" w16cid:durableId="1730495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3FA"/>
    <w:rsid w:val="00046356"/>
    <w:rsid w:val="00072FE6"/>
    <w:rsid w:val="00074185"/>
    <w:rsid w:val="000A4E05"/>
    <w:rsid w:val="000F3438"/>
    <w:rsid w:val="00136D1D"/>
    <w:rsid w:val="001B19A0"/>
    <w:rsid w:val="001C2784"/>
    <w:rsid w:val="001C5B24"/>
    <w:rsid w:val="00251167"/>
    <w:rsid w:val="003534F0"/>
    <w:rsid w:val="003777DE"/>
    <w:rsid w:val="003B1D2D"/>
    <w:rsid w:val="003C6C10"/>
    <w:rsid w:val="003D19F9"/>
    <w:rsid w:val="00444DAF"/>
    <w:rsid w:val="00485B63"/>
    <w:rsid w:val="004B6EEF"/>
    <w:rsid w:val="00514495"/>
    <w:rsid w:val="00535934"/>
    <w:rsid w:val="00542805"/>
    <w:rsid w:val="00551AFE"/>
    <w:rsid w:val="00642D08"/>
    <w:rsid w:val="006A5008"/>
    <w:rsid w:val="006E6365"/>
    <w:rsid w:val="00733786"/>
    <w:rsid w:val="00741F5B"/>
    <w:rsid w:val="007614BB"/>
    <w:rsid w:val="00770360"/>
    <w:rsid w:val="00782BAF"/>
    <w:rsid w:val="007D733D"/>
    <w:rsid w:val="00807A08"/>
    <w:rsid w:val="008302FE"/>
    <w:rsid w:val="00834C44"/>
    <w:rsid w:val="008722A0"/>
    <w:rsid w:val="008F4A32"/>
    <w:rsid w:val="009166AF"/>
    <w:rsid w:val="00957D3C"/>
    <w:rsid w:val="009C2DBE"/>
    <w:rsid w:val="009D33FA"/>
    <w:rsid w:val="00A44AD3"/>
    <w:rsid w:val="00A67FE1"/>
    <w:rsid w:val="00A8533D"/>
    <w:rsid w:val="00AD4069"/>
    <w:rsid w:val="00B23C8E"/>
    <w:rsid w:val="00B653FD"/>
    <w:rsid w:val="00B8087A"/>
    <w:rsid w:val="00B828C7"/>
    <w:rsid w:val="00BA5471"/>
    <w:rsid w:val="00BB35D1"/>
    <w:rsid w:val="00BD6900"/>
    <w:rsid w:val="00C83A2D"/>
    <w:rsid w:val="00CC5CED"/>
    <w:rsid w:val="00D070D4"/>
    <w:rsid w:val="00D247C9"/>
    <w:rsid w:val="00D33C98"/>
    <w:rsid w:val="00D33CBB"/>
    <w:rsid w:val="00D46371"/>
    <w:rsid w:val="00D5276B"/>
    <w:rsid w:val="00DD30F8"/>
    <w:rsid w:val="00DE2740"/>
    <w:rsid w:val="00DE4FC0"/>
    <w:rsid w:val="00E45F55"/>
    <w:rsid w:val="00EA2FC0"/>
    <w:rsid w:val="00EA4BC9"/>
    <w:rsid w:val="00EE77F1"/>
    <w:rsid w:val="00EF580B"/>
    <w:rsid w:val="00F639A4"/>
    <w:rsid w:val="00FB71B1"/>
    <w:rsid w:val="00FC54F8"/>
    <w:rsid w:val="00FC6D29"/>
    <w:rsid w:val="00FD02CD"/>
    <w:rsid w:val="00FE4212"/>
    <w:rsid w:val="00FF27B4"/>
    <w:rsid w:val="00FF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69E3F"/>
  <w15:chartTrackingRefBased/>
  <w15:docId w15:val="{B5EDDA5A-B0DF-4F02-AB28-A69C4853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6AF"/>
    <w:rPr>
      <w:rFonts w:ascii="Segoe UI" w:hAnsi="Segoe UI" w:cs="Segoe U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33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3FA"/>
  </w:style>
  <w:style w:type="paragraph" w:styleId="Piedepgina">
    <w:name w:val="footer"/>
    <w:basedOn w:val="Normal"/>
    <w:link w:val="PiedepginaCar"/>
    <w:uiPriority w:val="99"/>
    <w:unhideWhenUsed/>
    <w:rsid w:val="009D33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3FA"/>
  </w:style>
  <w:style w:type="paragraph" w:styleId="Prrafodelista">
    <w:name w:val="List Paragraph"/>
    <w:basedOn w:val="Normal"/>
    <w:uiPriority w:val="34"/>
    <w:qFormat/>
    <w:rsid w:val="001B19A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302F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302FE"/>
    <w:pPr>
      <w:widowControl w:val="0"/>
      <w:spacing w:after="0" w:line="240" w:lineRule="auto"/>
    </w:pPr>
    <w:rPr>
      <w:rFonts w:ascii="Arial" w:eastAsia="Arial" w:hAnsi="Arial"/>
      <w:b/>
      <w:bCs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302FE"/>
    <w:rPr>
      <w:rFonts w:ascii="Arial" w:eastAsia="Arial" w:hAnsi="Arial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8302FE"/>
    <w:pPr>
      <w:widowControl w:val="0"/>
      <w:spacing w:after="0" w:line="240" w:lineRule="auto"/>
    </w:pPr>
    <w:rPr>
      <w:lang w:val="en-US"/>
    </w:rPr>
  </w:style>
  <w:style w:type="paragraph" w:styleId="Sinespaciado">
    <w:name w:val="No Spacing"/>
    <w:basedOn w:val="Normal"/>
    <w:uiPriority w:val="1"/>
    <w:qFormat/>
    <w:rsid w:val="00A67FE1"/>
    <w:pPr>
      <w:kinsoku w:val="0"/>
      <w:overflowPunct w:val="0"/>
      <w:spacing w:beforeLines="120" w:before="288" w:after="0" w:line="240" w:lineRule="auto"/>
      <w:ind w:left="74" w:right="74"/>
      <w:jc w:val="both"/>
      <w:textAlignment w:val="baseline"/>
    </w:pPr>
    <w:rPr>
      <w:rFonts w:ascii="Century Gothic" w:hAnsi="Century Gothic" w:cs="Verdana"/>
      <w:spacing w:val="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2C965-5CDF-4970-9880-8C0A1F758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1291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Moncivaez Manzano</dc:creator>
  <cp:keywords/>
  <dc:description/>
  <cp:lastModifiedBy>Karene Guadalupe Méndez Contreras</cp:lastModifiedBy>
  <cp:revision>8</cp:revision>
  <dcterms:created xsi:type="dcterms:W3CDTF">2026-06-18T21:37:00Z</dcterms:created>
  <dcterms:modified xsi:type="dcterms:W3CDTF">2026-06-26T18:01:00Z</dcterms:modified>
</cp:coreProperties>
</file>